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81" w:rsidRPr="00CC7CE0" w:rsidRDefault="00CC7CE0" w:rsidP="00994681">
      <w:pPr>
        <w:rPr>
          <w:lang w:val="en-US"/>
        </w:rPr>
      </w:pPr>
      <w:bookmarkStart w:id="0" w:name="_GoBack"/>
      <w:bookmarkEnd w:id="0"/>
      <w:r>
        <w:rPr>
          <w:lang w:val="en-US"/>
        </w:rPr>
        <w:t xml:space="preserve">Information about authors, </w:t>
      </w:r>
      <w:r w:rsidRPr="00CC7CE0">
        <w:rPr>
          <w:lang w:val="en-US"/>
        </w:rPr>
        <w:t xml:space="preserve">keywords, and abstract are uploaded via the electronic </w:t>
      </w:r>
      <w:r>
        <w:rPr>
          <w:lang w:val="en-US"/>
        </w:rPr>
        <w:t>submission</w:t>
      </w:r>
      <w:r w:rsidR="00344163">
        <w:rPr>
          <w:lang w:val="en-US"/>
        </w:rPr>
        <w:t xml:space="preserve"> system</w:t>
      </w:r>
      <w:r w:rsidRPr="00CC7CE0">
        <w:rPr>
          <w:lang w:val="en-US"/>
        </w:rPr>
        <w:t xml:space="preserve">. Read more about this </w:t>
      </w:r>
      <w:hyperlink r:id="rId8" w:history="1">
        <w:r w:rsidRPr="00344163">
          <w:rPr>
            <w:rStyle w:val="ad"/>
            <w:lang w:val="en-US"/>
          </w:rPr>
          <w:t>here</w:t>
        </w:r>
      </w:hyperlink>
      <w:r w:rsidRPr="00CC7CE0">
        <w:rPr>
          <w:lang w:val="en-US"/>
        </w:rPr>
        <w:t xml:space="preserve">. </w:t>
      </w:r>
    </w:p>
    <w:p w:rsidR="00994681" w:rsidRPr="00093B41" w:rsidRDefault="00CC7CE0" w:rsidP="00994681">
      <w:pPr>
        <w:rPr>
          <w:rFonts w:eastAsia="Times New Roman" w:cs="Times New Roman"/>
          <w:szCs w:val="24"/>
          <w:lang w:val="en-US" w:eastAsia="ru-RU"/>
        </w:rPr>
      </w:pPr>
      <w:r w:rsidRPr="00093B41">
        <w:rPr>
          <w:rFonts w:eastAsia="Times New Roman" w:cs="Times New Roman"/>
          <w:b/>
          <w:szCs w:val="24"/>
          <w:lang w:val="en-US" w:eastAsia="ru-RU"/>
        </w:rPr>
        <w:t>**</w:t>
      </w:r>
      <w:r w:rsidRPr="00093B41">
        <w:rPr>
          <w:lang w:val="en-US"/>
        </w:rPr>
        <w:t xml:space="preserve"> </w:t>
      </w:r>
      <w:r w:rsidRPr="00093B41">
        <w:rPr>
          <w:rFonts w:eastAsia="Times New Roman" w:cs="Times New Roman"/>
          <w:b/>
          <w:szCs w:val="24"/>
          <w:u w:val="single"/>
          <w:lang w:val="en-US" w:eastAsia="ru-RU"/>
        </w:rPr>
        <w:t>Note</w:t>
      </w:r>
      <w:r w:rsidRPr="00CC7CE0">
        <w:rPr>
          <w:rFonts w:eastAsia="Times New Roman" w:cs="Times New Roman"/>
          <w:b/>
          <w:szCs w:val="24"/>
          <w:u w:val="single"/>
          <w:lang w:val="en-US" w:eastAsia="ru-RU"/>
        </w:rPr>
        <w:t xml:space="preserve">: </w:t>
      </w:r>
      <w:r w:rsidRPr="00CC7CE0">
        <w:rPr>
          <w:b/>
          <w:u w:val="single"/>
          <w:lang w:val="en-US"/>
        </w:rPr>
        <w:t>The main part of the article is attached on the electronic edition</w:t>
      </w:r>
      <w:r w:rsidR="00344163">
        <w:rPr>
          <w:b/>
          <w:u w:val="single"/>
          <w:lang w:val="en-US"/>
        </w:rPr>
        <w:t xml:space="preserve"> </w:t>
      </w:r>
      <w:r w:rsidR="00344163" w:rsidRPr="00CC7CE0">
        <w:rPr>
          <w:b/>
          <w:u w:val="single"/>
          <w:lang w:val="en-US"/>
        </w:rPr>
        <w:t>website</w:t>
      </w:r>
      <w:r w:rsidRPr="00CC7CE0">
        <w:rPr>
          <w:b/>
          <w:u w:val="single"/>
          <w:lang w:val="en-US"/>
        </w:rPr>
        <w:t xml:space="preserve"> in the document format .doc, .docx.</w:t>
      </w:r>
      <w:r w:rsidR="00344163">
        <w:rPr>
          <w:b/>
          <w:u w:val="single"/>
          <w:lang w:val="en-US"/>
        </w:rPr>
        <w:t xml:space="preserve"> </w:t>
      </w:r>
      <w:r w:rsidRPr="00093B41">
        <w:rPr>
          <w:rFonts w:eastAsia="Times New Roman" w:cs="Times New Roman"/>
          <w:b/>
          <w:szCs w:val="24"/>
          <w:u w:val="single"/>
          <w:lang w:val="en-US" w:eastAsia="ru-RU"/>
        </w:rPr>
        <w:t>The article should contain from 4 to 6 thousand words.</w:t>
      </w:r>
    </w:p>
    <w:p w:rsidR="00FD6D24" w:rsidRPr="0024629E" w:rsidRDefault="00FD6D24" w:rsidP="00093B41">
      <w:pPr>
        <w:ind w:firstLine="0"/>
        <w:rPr>
          <w:b/>
          <w:lang w:val="en-US"/>
        </w:rPr>
      </w:pPr>
    </w:p>
    <w:p w:rsidR="0024629E" w:rsidRPr="0024629E" w:rsidRDefault="0024629E" w:rsidP="0024629E">
      <w:pPr>
        <w:pStyle w:val="1"/>
        <w:numPr>
          <w:ilvl w:val="0"/>
          <w:numId w:val="22"/>
        </w:numPr>
      </w:pPr>
      <w:r w:rsidRPr="0024629E">
        <w:rPr>
          <w:lang w:val="en-US"/>
        </w:rPr>
        <w:t>Introduction</w:t>
      </w:r>
    </w:p>
    <w:p w:rsidR="0024629E" w:rsidRPr="0024629E" w:rsidRDefault="00F14DFA" w:rsidP="0024629E">
      <w:pPr>
        <w:rPr>
          <w:lang w:val="en-US" w:eastAsia="ru-RU"/>
        </w:rPr>
      </w:pPr>
      <w:r>
        <w:rPr>
          <w:lang w:val="en-US" w:eastAsia="ru-RU"/>
        </w:rPr>
        <w:t>This</w:t>
      </w:r>
      <w:r w:rsidR="0024629E" w:rsidRPr="0024629E">
        <w:rPr>
          <w:lang w:val="en-US" w:eastAsia="ru-RU"/>
        </w:rPr>
        <w:t xml:space="preserve"> section b</w:t>
      </w:r>
      <w:r>
        <w:rPr>
          <w:lang w:val="en-US" w:eastAsia="ru-RU"/>
        </w:rPr>
        <w:t>egins with a description of the</w:t>
      </w:r>
      <w:r w:rsidR="0024629E" w:rsidRPr="0024629E">
        <w:rPr>
          <w:lang w:val="en-US" w:eastAsia="ru-RU"/>
        </w:rPr>
        <w:t xml:space="preserve"> research</w:t>
      </w:r>
      <w:r w:rsidRPr="00F14DFA">
        <w:rPr>
          <w:lang w:val="en-US" w:eastAsia="ru-RU"/>
        </w:rPr>
        <w:t xml:space="preserve"> </w:t>
      </w:r>
      <w:r w:rsidRPr="0024629E">
        <w:rPr>
          <w:lang w:val="en-US" w:eastAsia="ru-RU"/>
        </w:rPr>
        <w:t>object</w:t>
      </w:r>
      <w:r w:rsidR="0024629E" w:rsidRPr="0024629E">
        <w:rPr>
          <w:lang w:val="en-US" w:eastAsia="ru-RU"/>
        </w:rPr>
        <w:t xml:space="preserve">, </w:t>
      </w:r>
      <w:r w:rsidRPr="0024629E">
        <w:rPr>
          <w:lang w:val="en-US" w:eastAsia="ru-RU"/>
        </w:rPr>
        <w:t>and then</w:t>
      </w:r>
      <w:r w:rsidR="0024629E" w:rsidRPr="0024629E">
        <w:rPr>
          <w:lang w:val="en-US" w:eastAsia="ru-RU"/>
        </w:rPr>
        <w:t xml:space="preserve"> </w:t>
      </w:r>
      <w:r>
        <w:rPr>
          <w:lang w:val="en-US" w:eastAsia="ru-RU"/>
        </w:rPr>
        <w:t xml:space="preserve">the author </w:t>
      </w:r>
      <w:r w:rsidRPr="0024629E">
        <w:rPr>
          <w:lang w:val="en-US" w:eastAsia="ru-RU"/>
        </w:rPr>
        <w:t>formulate</w:t>
      </w:r>
      <w:r>
        <w:rPr>
          <w:lang w:val="en-US" w:eastAsia="ru-RU"/>
        </w:rPr>
        <w:t xml:space="preserve"> the </w:t>
      </w:r>
      <w:r w:rsidRPr="0024629E">
        <w:rPr>
          <w:lang w:val="en-US" w:eastAsia="ru-RU"/>
        </w:rPr>
        <w:t>research</w:t>
      </w:r>
      <w:r>
        <w:rPr>
          <w:lang w:val="en-US" w:eastAsia="ru-RU"/>
        </w:rPr>
        <w:t xml:space="preserve"> relevance</w:t>
      </w:r>
      <w:r w:rsidR="0024629E" w:rsidRPr="0024629E">
        <w:rPr>
          <w:lang w:val="en-US" w:eastAsia="ru-RU"/>
        </w:rPr>
        <w:t>. It is necessary to specify the scientific problem and indicate its correlation with the tasks that need to be solved within the framework of the author's research.</w:t>
      </w:r>
    </w:p>
    <w:p w:rsidR="00CA6948" w:rsidRPr="0024629E" w:rsidRDefault="00CA6948" w:rsidP="00CA6948">
      <w:pPr>
        <w:rPr>
          <w:lang w:val="en-US" w:eastAsia="ru-RU"/>
        </w:rPr>
      </w:pPr>
    </w:p>
    <w:p w:rsidR="00CA6948" w:rsidRDefault="00DB4465" w:rsidP="00EA3539">
      <w:pPr>
        <w:pStyle w:val="1"/>
        <w:numPr>
          <w:ilvl w:val="0"/>
          <w:numId w:val="22"/>
        </w:numPr>
      </w:pPr>
      <w:r>
        <w:rPr>
          <w:lang w:val="en-US"/>
        </w:rPr>
        <w:t>Literature review</w:t>
      </w:r>
    </w:p>
    <w:p w:rsidR="00DB4465" w:rsidRPr="00DB4465" w:rsidRDefault="00DB4465" w:rsidP="000B4031">
      <w:pPr>
        <w:rPr>
          <w:color w:val="000000" w:themeColor="text1"/>
          <w:lang w:val="en-US" w:eastAsia="ru-RU"/>
        </w:rPr>
      </w:pPr>
      <w:r w:rsidRPr="00DB4465">
        <w:rPr>
          <w:color w:val="000000" w:themeColor="text1"/>
          <w:lang w:val="en-US" w:eastAsia="ru-RU"/>
        </w:rPr>
        <w:t>This section provides an overview of the world literature, confirming the absence of a solution to this problem in the literature sources and / or indicating the experts on whose research this work is based. It is necessary to analyze the results obtained by the authors, as well as to indicate how this correlates with the research being conducted within the framework of your article.</w:t>
      </w:r>
    </w:p>
    <w:p w:rsidR="00ED0371" w:rsidRPr="00DB4465" w:rsidRDefault="00ED0371" w:rsidP="00ED0371">
      <w:pPr>
        <w:rPr>
          <w:color w:val="000000" w:themeColor="text1"/>
          <w:lang w:val="en-US" w:eastAsia="ru-RU"/>
        </w:rPr>
      </w:pPr>
    </w:p>
    <w:p w:rsidR="00ED0371" w:rsidRPr="00255F6A" w:rsidRDefault="00255F6A" w:rsidP="00255F6A">
      <w:pPr>
        <w:pStyle w:val="1"/>
        <w:numPr>
          <w:ilvl w:val="0"/>
          <w:numId w:val="22"/>
        </w:numPr>
        <w:rPr>
          <w:lang w:val="en-US"/>
        </w:rPr>
      </w:pPr>
      <w:r w:rsidRPr="00255F6A">
        <w:rPr>
          <w:lang w:val="en-US"/>
        </w:rPr>
        <w:t>Materials and methods</w:t>
      </w:r>
    </w:p>
    <w:p w:rsidR="00EC2E07" w:rsidRPr="00EC2E07" w:rsidRDefault="00EC2E07" w:rsidP="00ED0371">
      <w:pPr>
        <w:rPr>
          <w:lang w:val="en-US" w:eastAsia="ru-RU"/>
        </w:rPr>
      </w:pPr>
      <w:r w:rsidRPr="00EC2E07">
        <w:rPr>
          <w:lang w:val="en-US" w:eastAsia="ru-RU"/>
        </w:rPr>
        <w:t xml:space="preserve">This section describes in detail the selected research method. </w:t>
      </w:r>
      <w:r w:rsidR="00A8339C">
        <w:rPr>
          <w:lang w:val="en-US" w:eastAsia="ru-RU"/>
        </w:rPr>
        <w:t>You should present t</w:t>
      </w:r>
      <w:r w:rsidR="00A8339C" w:rsidRPr="00EC2E07">
        <w:rPr>
          <w:lang w:val="en-US" w:eastAsia="ru-RU"/>
        </w:rPr>
        <w:t xml:space="preserve">he methods </w:t>
      </w:r>
      <w:r w:rsidRPr="00EC2E07">
        <w:rPr>
          <w:lang w:val="en-US" w:eastAsia="ru-RU"/>
        </w:rPr>
        <w:t xml:space="preserve">in such a way that another scientist </w:t>
      </w:r>
      <w:r w:rsidR="00A8339C">
        <w:rPr>
          <w:lang w:val="en-US" w:eastAsia="ru-RU"/>
        </w:rPr>
        <w:t>would be</w:t>
      </w:r>
      <w:r w:rsidRPr="00EC2E07">
        <w:rPr>
          <w:lang w:val="en-US" w:eastAsia="ru-RU"/>
        </w:rPr>
        <w:t xml:space="preserve"> able to reproduce your research and get similar results. In other words, this section provides detailed information about th</w:t>
      </w:r>
      <w:r w:rsidR="00467C3D">
        <w:rPr>
          <w:lang w:val="en-US" w:eastAsia="ru-RU"/>
        </w:rPr>
        <w:t xml:space="preserve">e </w:t>
      </w:r>
      <w:r w:rsidR="00467C3D" w:rsidRPr="00EC2E07">
        <w:rPr>
          <w:lang w:val="en-US" w:eastAsia="ru-RU"/>
        </w:rPr>
        <w:t>study</w:t>
      </w:r>
      <w:r w:rsidR="00467C3D">
        <w:rPr>
          <w:lang w:val="en-US" w:eastAsia="ru-RU"/>
        </w:rPr>
        <w:t xml:space="preserve"> sequence (step-by-step)</w:t>
      </w:r>
      <w:r w:rsidRPr="00EC2E07">
        <w:rPr>
          <w:lang w:val="en-US" w:eastAsia="ru-RU"/>
        </w:rPr>
        <w:t>. In addition, it is imp</w:t>
      </w:r>
      <w:r w:rsidR="00467C3D">
        <w:rPr>
          <w:lang w:val="en-US" w:eastAsia="ru-RU"/>
        </w:rPr>
        <w:t xml:space="preserve">ortant to pay attention to the </w:t>
      </w:r>
      <w:r w:rsidR="00467C3D" w:rsidRPr="00467C3D">
        <w:rPr>
          <w:lang w:val="en-US" w:eastAsia="ru-RU"/>
        </w:rPr>
        <w:t>selection rationale</w:t>
      </w:r>
      <w:r w:rsidRPr="00EC2E07">
        <w:rPr>
          <w:lang w:val="en-US" w:eastAsia="ru-RU"/>
        </w:rPr>
        <w:t xml:space="preserve"> of </w:t>
      </w:r>
      <w:r w:rsidR="00467C3D">
        <w:rPr>
          <w:lang w:val="en-US" w:eastAsia="ru-RU"/>
        </w:rPr>
        <w:t xml:space="preserve">the </w:t>
      </w:r>
      <w:r w:rsidRPr="00EC2E07">
        <w:rPr>
          <w:lang w:val="en-US" w:eastAsia="ru-RU"/>
        </w:rPr>
        <w:t>methods used.</w:t>
      </w:r>
    </w:p>
    <w:p w:rsidR="00ED0371" w:rsidRPr="00EC2E07" w:rsidRDefault="00ED0371" w:rsidP="00ED0371">
      <w:pPr>
        <w:rPr>
          <w:lang w:val="en-US" w:eastAsia="ru-RU"/>
        </w:rPr>
      </w:pPr>
    </w:p>
    <w:p w:rsidR="00ED0371" w:rsidRDefault="00255F6A" w:rsidP="00EA3539">
      <w:pPr>
        <w:pStyle w:val="1"/>
        <w:numPr>
          <w:ilvl w:val="0"/>
          <w:numId w:val="22"/>
        </w:numPr>
      </w:pPr>
      <w:r>
        <w:rPr>
          <w:lang w:val="en-US"/>
        </w:rPr>
        <w:t>Results</w:t>
      </w:r>
    </w:p>
    <w:p w:rsidR="00ED0371" w:rsidRPr="00C60E3E" w:rsidRDefault="00C60E3E" w:rsidP="00ED0371">
      <w:pPr>
        <w:rPr>
          <w:rFonts w:eastAsia="Times New Roman" w:cs="Times New Roman"/>
          <w:b/>
          <w:bCs/>
          <w:szCs w:val="24"/>
          <w:lang w:val="en-US" w:eastAsia="ru-RU"/>
        </w:rPr>
      </w:pPr>
      <w:r w:rsidRPr="00C60E3E">
        <w:rPr>
          <w:rFonts w:eastAsia="Times New Roman" w:cs="Times New Roman"/>
          <w:bCs/>
          <w:szCs w:val="24"/>
          <w:lang w:val="en-US" w:eastAsia="ru-RU"/>
        </w:rPr>
        <w:t xml:space="preserve">The information in this section should be arranged in accordance with the previously proposed algorithm (stages) from the </w:t>
      </w:r>
      <w:r w:rsidRPr="00C60E3E">
        <w:rPr>
          <w:rFonts w:eastAsia="Times New Roman" w:cs="Times New Roman"/>
          <w:b/>
          <w:bCs/>
          <w:szCs w:val="24"/>
          <w:lang w:val="en-US" w:eastAsia="ru-RU"/>
        </w:rPr>
        <w:t>Materials and Methods</w:t>
      </w:r>
      <w:r w:rsidRPr="00C60E3E">
        <w:rPr>
          <w:rFonts w:eastAsia="Times New Roman" w:cs="Times New Roman"/>
          <w:bCs/>
          <w:szCs w:val="24"/>
          <w:lang w:val="en-US" w:eastAsia="ru-RU"/>
        </w:rPr>
        <w:t xml:space="preserve"> section. It is recommended to present the results mainly in tables, graphs and other illustrations. This section also includes an analysis of the results obtained and their interpretation</w:t>
      </w:r>
      <w:r w:rsidRPr="00C60E3E">
        <w:rPr>
          <w:rFonts w:eastAsia="Times New Roman" w:cs="Times New Roman"/>
          <w:b/>
          <w:bCs/>
          <w:szCs w:val="24"/>
          <w:lang w:val="en-US" w:eastAsia="ru-RU"/>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5002"/>
      </w:tblGrid>
      <w:tr w:rsidR="00ED0371" w:rsidRPr="007E0E76" w:rsidTr="00ED4912">
        <w:tc>
          <w:tcPr>
            <w:tcW w:w="4919" w:type="dxa"/>
          </w:tcPr>
          <w:p w:rsidR="00ED0371" w:rsidRPr="007E0E76" w:rsidRDefault="00ED0371" w:rsidP="00ED4912">
            <w:pPr>
              <w:tabs>
                <w:tab w:val="left" w:pos="450"/>
              </w:tabs>
              <w:rPr>
                <w:rFonts w:ascii="Cambria" w:hAnsi="Cambria"/>
                <w:bCs/>
                <w:kern w:val="28"/>
                <w:szCs w:val="20"/>
                <w:lang w:val="en-US"/>
              </w:rPr>
            </w:pPr>
            <w:r w:rsidRPr="007E0E76">
              <w:rPr>
                <w:noProof/>
                <w:szCs w:val="20"/>
                <w:lang w:eastAsia="ru-RU"/>
              </w:rPr>
              <w:drawing>
                <wp:inline distT="0" distB="0" distL="0" distR="0" wp14:anchorId="556FFEDD" wp14:editId="44914FF5">
                  <wp:extent cx="2914650" cy="1447800"/>
                  <wp:effectExtent l="0" t="0" r="0" b="0"/>
                  <wp:docPr id="1" name="Picture 26"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ilmanm\Pictures\Pic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1447800"/>
                          </a:xfrm>
                          <a:prstGeom prst="rect">
                            <a:avLst/>
                          </a:prstGeom>
                          <a:noFill/>
                          <a:ln>
                            <a:noFill/>
                          </a:ln>
                        </pic:spPr>
                      </pic:pic>
                    </a:graphicData>
                  </a:graphic>
                </wp:inline>
              </w:drawing>
            </w:r>
          </w:p>
        </w:tc>
        <w:tc>
          <w:tcPr>
            <w:tcW w:w="5002" w:type="dxa"/>
          </w:tcPr>
          <w:p w:rsidR="00ED0371" w:rsidRPr="007E0E76" w:rsidRDefault="00ED0371" w:rsidP="00ED4912">
            <w:pPr>
              <w:tabs>
                <w:tab w:val="left" w:pos="450"/>
              </w:tabs>
              <w:rPr>
                <w:rFonts w:ascii="Cambria" w:hAnsi="Cambria"/>
                <w:bCs/>
                <w:kern w:val="28"/>
                <w:szCs w:val="20"/>
                <w:lang w:val="en-US"/>
              </w:rPr>
            </w:pPr>
            <w:r w:rsidRPr="007E0E76">
              <w:rPr>
                <w:noProof/>
                <w:szCs w:val="20"/>
                <w:lang w:eastAsia="ru-RU"/>
              </w:rPr>
              <w:drawing>
                <wp:inline distT="0" distB="0" distL="0" distR="0" wp14:anchorId="15B54485" wp14:editId="661265FA">
                  <wp:extent cx="2962275" cy="1438275"/>
                  <wp:effectExtent l="0" t="0" r="9525" b="9525"/>
                  <wp:docPr id="2" name="Picture 33"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hilmanm\Pictures\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tc>
      </w:tr>
      <w:tr w:rsidR="00ED0371" w:rsidRPr="00A941ED" w:rsidTr="00ED4912">
        <w:tc>
          <w:tcPr>
            <w:tcW w:w="4919" w:type="dxa"/>
          </w:tcPr>
          <w:p w:rsidR="00ED0371" w:rsidRPr="00A941ED" w:rsidRDefault="00ED0371" w:rsidP="00ED4912">
            <w:pPr>
              <w:tabs>
                <w:tab w:val="left" w:pos="450"/>
              </w:tabs>
              <w:jc w:val="center"/>
              <w:rPr>
                <w:rFonts w:cs="Times New Roman"/>
                <w:bCs/>
                <w:kern w:val="28"/>
                <w:szCs w:val="24"/>
                <w:lang w:val="en-US"/>
              </w:rPr>
            </w:pPr>
            <w:r w:rsidRPr="00A941ED">
              <w:rPr>
                <w:rFonts w:cs="Times New Roman"/>
                <w:szCs w:val="24"/>
                <w:lang w:val="en-AU" w:eastAsia="en-AU"/>
              </w:rPr>
              <w:t>(a)</w:t>
            </w:r>
          </w:p>
        </w:tc>
        <w:tc>
          <w:tcPr>
            <w:tcW w:w="5002" w:type="dxa"/>
          </w:tcPr>
          <w:p w:rsidR="00ED0371" w:rsidRPr="00A941ED" w:rsidRDefault="00EA3539" w:rsidP="00ED4912">
            <w:pPr>
              <w:tabs>
                <w:tab w:val="left" w:pos="450"/>
              </w:tabs>
              <w:jc w:val="center"/>
              <w:rPr>
                <w:rFonts w:cs="Times New Roman"/>
                <w:bCs/>
                <w:kern w:val="28"/>
                <w:szCs w:val="24"/>
                <w:lang w:val="en-US"/>
              </w:rPr>
            </w:pPr>
            <w:r>
              <w:rPr>
                <w:rFonts w:cs="Times New Roman"/>
                <w:szCs w:val="24"/>
                <w:lang w:val="en-AU" w:eastAsia="en-AU"/>
              </w:rPr>
              <w:t>(</w:t>
            </w:r>
            <w:r>
              <w:rPr>
                <w:rFonts w:cs="Times New Roman"/>
                <w:szCs w:val="24"/>
                <w:lang w:val="en-US" w:eastAsia="en-AU"/>
              </w:rPr>
              <w:t>b</w:t>
            </w:r>
            <w:r w:rsidR="00ED0371" w:rsidRPr="00A941ED">
              <w:rPr>
                <w:rFonts w:cs="Times New Roman"/>
                <w:szCs w:val="24"/>
                <w:lang w:val="en-AU" w:eastAsia="en-AU"/>
              </w:rPr>
              <w:t>)</w:t>
            </w:r>
          </w:p>
        </w:tc>
      </w:tr>
    </w:tbl>
    <w:p w:rsidR="00ED0371" w:rsidRPr="00A941ED" w:rsidRDefault="00ED0371" w:rsidP="00ED0371">
      <w:pPr>
        <w:tabs>
          <w:tab w:val="left" w:pos="450"/>
        </w:tabs>
        <w:snapToGrid w:val="0"/>
        <w:rPr>
          <w:rFonts w:cs="Times New Roman"/>
          <w:bCs/>
          <w:kern w:val="28"/>
          <w:szCs w:val="24"/>
          <w:lang w:val="en-US"/>
        </w:rPr>
      </w:pPr>
      <w:r w:rsidRPr="00A941ED">
        <w:rPr>
          <w:rFonts w:cs="Times New Roman"/>
          <w:b/>
          <w:bCs/>
          <w:kern w:val="28"/>
          <w:szCs w:val="24"/>
          <w:lang w:val="en-US"/>
        </w:rPr>
        <w:t>Figure 2</w:t>
      </w:r>
      <w:r w:rsidRPr="00A941ED">
        <w:rPr>
          <w:rFonts w:cs="Times New Roman"/>
          <w:bCs/>
          <w:kern w:val="28"/>
          <w:szCs w:val="24"/>
          <w:lang w:val="en-US"/>
        </w:rPr>
        <w:t xml:space="preserve"> Memory performance result: (a) Integer; and (b) Floating point</w:t>
      </w:r>
    </w:p>
    <w:p w:rsidR="00ED0371" w:rsidRDefault="00ED0371" w:rsidP="00ED0371">
      <w:pPr>
        <w:tabs>
          <w:tab w:val="left" w:pos="450"/>
        </w:tabs>
        <w:rPr>
          <w:rFonts w:ascii="Cambria" w:hAnsi="Cambria"/>
          <w:b/>
          <w:sz w:val="20"/>
          <w:szCs w:val="20"/>
          <w:lang w:val="en-US"/>
        </w:rPr>
      </w:pPr>
    </w:p>
    <w:p w:rsidR="00ED0371" w:rsidRPr="001B3BC8" w:rsidRDefault="00ED0371" w:rsidP="00ED0371">
      <w:pPr>
        <w:rPr>
          <w:szCs w:val="24"/>
          <w:lang w:val="en-US"/>
        </w:rPr>
      </w:pPr>
      <w:r w:rsidRPr="001B3BC8">
        <w:rPr>
          <w:b/>
          <w:szCs w:val="24"/>
          <w:lang w:val="en-US"/>
        </w:rPr>
        <w:t>Table 1</w:t>
      </w:r>
      <w:r w:rsidRPr="001B3BC8">
        <w:rPr>
          <w:szCs w:val="24"/>
          <w:lang w:val="en-US"/>
        </w:rPr>
        <w:t xml:space="preserve"> Number of receptors in each container</w:t>
      </w:r>
    </w:p>
    <w:tbl>
      <w:tblPr>
        <w:tblStyle w:val="ac"/>
        <w:tblW w:w="0" w:type="auto"/>
        <w:jc w:val="center"/>
        <w:tblLook w:val="04A0" w:firstRow="1" w:lastRow="0" w:firstColumn="1" w:lastColumn="0" w:noHBand="0" w:noVBand="1"/>
      </w:tblPr>
      <w:tblGrid>
        <w:gridCol w:w="1566"/>
        <w:gridCol w:w="1502"/>
        <w:gridCol w:w="1423"/>
      </w:tblGrid>
      <w:tr w:rsidR="00ED0371" w:rsidRPr="001B3BC8" w:rsidTr="00ED4912">
        <w:trPr>
          <w:trHeight w:val="277"/>
          <w:jc w:val="center"/>
        </w:trPr>
        <w:tc>
          <w:tcPr>
            <w:tcW w:w="1566" w:type="dxa"/>
          </w:tcPr>
          <w:p w:rsidR="00ED0371" w:rsidRPr="001B3BC8" w:rsidRDefault="00ED0371" w:rsidP="00ED4912">
            <w:pPr>
              <w:pStyle w:val="aa"/>
              <w:spacing w:before="60" w:after="60"/>
              <w:jc w:val="center"/>
              <w:rPr>
                <w:i/>
                <w:sz w:val="24"/>
              </w:rPr>
            </w:pPr>
            <w:r w:rsidRPr="001B3BC8">
              <w:rPr>
                <w:sz w:val="24"/>
              </w:rPr>
              <w:t xml:space="preserve">Experiment </w:t>
            </w:r>
          </w:p>
        </w:tc>
        <w:tc>
          <w:tcPr>
            <w:tcW w:w="1502" w:type="dxa"/>
          </w:tcPr>
          <w:p w:rsidR="00ED0371" w:rsidRPr="001B3BC8" w:rsidRDefault="00ED0371" w:rsidP="00ED4912">
            <w:pPr>
              <w:pStyle w:val="aa"/>
              <w:spacing w:before="60" w:after="60"/>
              <w:jc w:val="center"/>
              <w:rPr>
                <w:i/>
                <w:sz w:val="24"/>
              </w:rPr>
            </w:pPr>
            <w:r w:rsidRPr="001B3BC8">
              <w:rPr>
                <w:sz w:val="24"/>
              </w:rPr>
              <w:t xml:space="preserve">Container </w:t>
            </w:r>
          </w:p>
        </w:tc>
        <w:tc>
          <w:tcPr>
            <w:tcW w:w="1423" w:type="dxa"/>
          </w:tcPr>
          <w:p w:rsidR="00ED0371" w:rsidRPr="001B3BC8" w:rsidRDefault="00ED0371" w:rsidP="00ED4912">
            <w:pPr>
              <w:pStyle w:val="aa"/>
              <w:spacing w:before="60" w:after="60"/>
              <w:jc w:val="center"/>
              <w:rPr>
                <w:i/>
                <w:sz w:val="24"/>
              </w:rPr>
            </w:pPr>
            <w:r w:rsidRPr="001B3BC8">
              <w:rPr>
                <w:sz w:val="24"/>
              </w:rPr>
              <w:t xml:space="preserve">Receptor </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1</w:t>
            </w:r>
          </w:p>
        </w:tc>
        <w:tc>
          <w:tcPr>
            <w:tcW w:w="1502" w:type="dxa"/>
          </w:tcPr>
          <w:p w:rsidR="00ED0371" w:rsidRPr="001B3BC8" w:rsidRDefault="00ED0371" w:rsidP="00ED4912">
            <w:pPr>
              <w:pStyle w:val="aa"/>
              <w:jc w:val="center"/>
              <w:rPr>
                <w:i/>
                <w:sz w:val="24"/>
              </w:rPr>
            </w:pPr>
            <w:r w:rsidRPr="001B3BC8">
              <w:rPr>
                <w:sz w:val="24"/>
              </w:rPr>
              <w:t>50</w:t>
            </w:r>
          </w:p>
        </w:tc>
        <w:tc>
          <w:tcPr>
            <w:tcW w:w="1423" w:type="dxa"/>
          </w:tcPr>
          <w:p w:rsidR="00ED0371" w:rsidRPr="001B3BC8" w:rsidRDefault="00ED0371" w:rsidP="00ED4912">
            <w:pPr>
              <w:pStyle w:val="aa"/>
              <w:jc w:val="center"/>
              <w:rPr>
                <w:i/>
                <w:sz w:val="24"/>
              </w:rPr>
            </w:pPr>
            <w:r w:rsidRPr="001B3BC8">
              <w:rPr>
                <w:sz w:val="24"/>
              </w:rPr>
              <w:t>28</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2</w:t>
            </w:r>
          </w:p>
        </w:tc>
        <w:tc>
          <w:tcPr>
            <w:tcW w:w="1502" w:type="dxa"/>
          </w:tcPr>
          <w:p w:rsidR="00ED0371" w:rsidRPr="001B3BC8" w:rsidRDefault="00ED0371" w:rsidP="00ED4912">
            <w:pPr>
              <w:pStyle w:val="aa"/>
              <w:jc w:val="center"/>
              <w:rPr>
                <w:i/>
                <w:sz w:val="24"/>
              </w:rPr>
            </w:pPr>
            <w:r w:rsidRPr="001B3BC8">
              <w:rPr>
                <w:sz w:val="24"/>
              </w:rPr>
              <w:t>100</w:t>
            </w:r>
          </w:p>
        </w:tc>
        <w:tc>
          <w:tcPr>
            <w:tcW w:w="1423" w:type="dxa"/>
          </w:tcPr>
          <w:p w:rsidR="00ED0371" w:rsidRPr="001B3BC8" w:rsidRDefault="00ED0371" w:rsidP="00ED4912">
            <w:pPr>
              <w:pStyle w:val="aa"/>
              <w:jc w:val="center"/>
              <w:rPr>
                <w:i/>
                <w:sz w:val="24"/>
              </w:rPr>
            </w:pPr>
            <w:r w:rsidRPr="001B3BC8">
              <w:rPr>
                <w:sz w:val="24"/>
              </w:rPr>
              <w:t>14</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3</w:t>
            </w:r>
          </w:p>
        </w:tc>
        <w:tc>
          <w:tcPr>
            <w:tcW w:w="1502" w:type="dxa"/>
          </w:tcPr>
          <w:p w:rsidR="00ED0371" w:rsidRPr="001B3BC8" w:rsidRDefault="00ED0371" w:rsidP="00ED4912">
            <w:pPr>
              <w:pStyle w:val="aa"/>
              <w:jc w:val="center"/>
              <w:rPr>
                <w:i/>
                <w:sz w:val="24"/>
              </w:rPr>
            </w:pPr>
            <w:r w:rsidRPr="001B3BC8">
              <w:rPr>
                <w:sz w:val="24"/>
              </w:rPr>
              <w:t>150</w:t>
            </w:r>
          </w:p>
        </w:tc>
        <w:tc>
          <w:tcPr>
            <w:tcW w:w="1423" w:type="dxa"/>
          </w:tcPr>
          <w:p w:rsidR="00ED0371" w:rsidRPr="001B3BC8" w:rsidRDefault="00ED0371" w:rsidP="00ED4912">
            <w:pPr>
              <w:pStyle w:val="aa"/>
              <w:jc w:val="center"/>
              <w:rPr>
                <w:i/>
                <w:sz w:val="24"/>
              </w:rPr>
            </w:pPr>
            <w:r w:rsidRPr="001B3BC8">
              <w:rPr>
                <w:sz w:val="24"/>
              </w:rPr>
              <w:t>9</w:t>
            </w:r>
          </w:p>
        </w:tc>
      </w:tr>
      <w:tr w:rsidR="00ED0371" w:rsidRPr="001B3BC8" w:rsidTr="00ED4912">
        <w:trPr>
          <w:trHeight w:val="123"/>
          <w:jc w:val="center"/>
        </w:trPr>
        <w:tc>
          <w:tcPr>
            <w:tcW w:w="1566" w:type="dxa"/>
          </w:tcPr>
          <w:p w:rsidR="00ED0371" w:rsidRPr="001B3BC8" w:rsidRDefault="00ED0371" w:rsidP="00ED4912">
            <w:pPr>
              <w:pStyle w:val="aa"/>
              <w:jc w:val="center"/>
              <w:rPr>
                <w:i/>
                <w:sz w:val="24"/>
              </w:rPr>
            </w:pPr>
            <w:r w:rsidRPr="001B3BC8">
              <w:rPr>
                <w:sz w:val="24"/>
              </w:rPr>
              <w:t>4</w:t>
            </w:r>
          </w:p>
        </w:tc>
        <w:tc>
          <w:tcPr>
            <w:tcW w:w="1502" w:type="dxa"/>
          </w:tcPr>
          <w:p w:rsidR="00ED0371" w:rsidRPr="001B3BC8" w:rsidRDefault="00ED0371" w:rsidP="00ED4912">
            <w:pPr>
              <w:pStyle w:val="aa"/>
              <w:jc w:val="center"/>
              <w:rPr>
                <w:i/>
                <w:sz w:val="24"/>
              </w:rPr>
            </w:pPr>
            <w:r w:rsidRPr="001B3BC8">
              <w:rPr>
                <w:sz w:val="24"/>
              </w:rPr>
              <w:t>200</w:t>
            </w:r>
          </w:p>
        </w:tc>
        <w:tc>
          <w:tcPr>
            <w:tcW w:w="1423" w:type="dxa"/>
          </w:tcPr>
          <w:p w:rsidR="00ED0371" w:rsidRPr="001B3BC8" w:rsidRDefault="00ED0371" w:rsidP="00ED4912">
            <w:pPr>
              <w:pStyle w:val="aa"/>
              <w:jc w:val="center"/>
              <w:rPr>
                <w:i/>
                <w:sz w:val="24"/>
              </w:rPr>
            </w:pPr>
            <w:r w:rsidRPr="001B3BC8">
              <w:rPr>
                <w:sz w:val="24"/>
              </w:rPr>
              <w:t>7</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5</w:t>
            </w:r>
          </w:p>
        </w:tc>
        <w:tc>
          <w:tcPr>
            <w:tcW w:w="1502" w:type="dxa"/>
          </w:tcPr>
          <w:p w:rsidR="00ED0371" w:rsidRPr="001B3BC8" w:rsidRDefault="00ED0371" w:rsidP="00ED4912">
            <w:pPr>
              <w:pStyle w:val="aa"/>
              <w:jc w:val="center"/>
              <w:rPr>
                <w:i/>
                <w:sz w:val="24"/>
              </w:rPr>
            </w:pPr>
            <w:r w:rsidRPr="001B3BC8">
              <w:rPr>
                <w:sz w:val="24"/>
              </w:rPr>
              <w:t>250</w:t>
            </w:r>
          </w:p>
        </w:tc>
        <w:tc>
          <w:tcPr>
            <w:tcW w:w="1423" w:type="dxa"/>
          </w:tcPr>
          <w:p w:rsidR="00ED0371" w:rsidRPr="001B3BC8" w:rsidRDefault="00ED0371" w:rsidP="00ED4912">
            <w:pPr>
              <w:pStyle w:val="aa"/>
              <w:jc w:val="center"/>
              <w:rPr>
                <w:i/>
                <w:sz w:val="24"/>
              </w:rPr>
            </w:pPr>
            <w:r w:rsidRPr="001B3BC8">
              <w:rPr>
                <w:sz w:val="24"/>
              </w:rPr>
              <w:t>5</w:t>
            </w:r>
          </w:p>
        </w:tc>
      </w:tr>
    </w:tbl>
    <w:p w:rsidR="00ED0371" w:rsidRPr="00E75CD3" w:rsidRDefault="00ED0371" w:rsidP="00ED0371">
      <w:pPr>
        <w:rPr>
          <w:rFonts w:eastAsia="Times New Roman" w:cs="Times New Roman"/>
          <w:szCs w:val="24"/>
          <w:lang w:eastAsia="ru-RU"/>
        </w:rPr>
      </w:pPr>
    </w:p>
    <w:p w:rsidR="00861760" w:rsidRPr="00861760" w:rsidRDefault="00861760" w:rsidP="00ED0371">
      <w:pPr>
        <w:rPr>
          <w:rFonts w:eastAsia="Times New Roman" w:cs="Times New Roman"/>
          <w:szCs w:val="24"/>
          <w:lang w:val="en-US" w:eastAsia="ru-RU"/>
        </w:rPr>
      </w:pPr>
      <w:r w:rsidRPr="00861760">
        <w:rPr>
          <w:rFonts w:eastAsia="Times New Roman" w:cs="Times New Roman"/>
          <w:szCs w:val="24"/>
          <w:lang w:val="en-US" w:eastAsia="ru-RU"/>
        </w:rPr>
        <w:t>Formulas are typed using the built-in formula editor. Formula characteristic</w:t>
      </w:r>
      <w:r>
        <w:rPr>
          <w:rFonts w:eastAsia="Times New Roman" w:cs="Times New Roman"/>
          <w:szCs w:val="24"/>
          <w:lang w:val="en-US" w:eastAsia="ru-RU"/>
        </w:rPr>
        <w:t>s:</w:t>
      </w:r>
    </w:p>
    <w:p w:rsidR="00ED0371" w:rsidRPr="00E75CD3" w:rsidRDefault="00861760" w:rsidP="00861760">
      <w:pPr>
        <w:numPr>
          <w:ilvl w:val="0"/>
          <w:numId w:val="3"/>
        </w:numPr>
        <w:rPr>
          <w:rFonts w:eastAsia="Times New Roman" w:cs="Times New Roman"/>
          <w:szCs w:val="24"/>
          <w:lang w:eastAsia="ru-RU"/>
        </w:rPr>
      </w:pPr>
      <w:r w:rsidRPr="00861760">
        <w:rPr>
          <w:rFonts w:eastAsia="Times New Roman" w:cs="Times New Roman"/>
          <w:szCs w:val="24"/>
          <w:lang w:eastAsia="ru-RU"/>
        </w:rPr>
        <w:t>font</w:t>
      </w:r>
      <w:r w:rsidR="00ED0371" w:rsidRPr="00E75CD3">
        <w:rPr>
          <w:rFonts w:eastAsia="Times New Roman" w:cs="Times New Roman"/>
          <w:szCs w:val="24"/>
          <w:lang w:eastAsia="ru-RU"/>
        </w:rPr>
        <w:t xml:space="preserve"> — Times New Roman;</w:t>
      </w:r>
    </w:p>
    <w:p w:rsidR="00ED0371" w:rsidRPr="00982E02" w:rsidRDefault="00861760" w:rsidP="00982E02">
      <w:pPr>
        <w:numPr>
          <w:ilvl w:val="0"/>
          <w:numId w:val="3"/>
        </w:numPr>
        <w:rPr>
          <w:rFonts w:eastAsia="Times New Roman" w:cs="Times New Roman"/>
          <w:szCs w:val="24"/>
          <w:lang w:val="en-US" w:eastAsia="ru-RU"/>
        </w:rPr>
      </w:pPr>
      <w:r>
        <w:rPr>
          <w:rFonts w:eastAsia="Times New Roman" w:cs="Times New Roman"/>
          <w:szCs w:val="24"/>
          <w:lang w:val="en-US" w:eastAsia="ru-RU"/>
        </w:rPr>
        <w:lastRenderedPageBreak/>
        <w:t>s</w:t>
      </w:r>
      <w:r w:rsidRPr="00982E02">
        <w:rPr>
          <w:rFonts w:eastAsia="Times New Roman" w:cs="Times New Roman"/>
          <w:szCs w:val="24"/>
          <w:lang w:val="en-US" w:eastAsia="ru-RU"/>
        </w:rPr>
        <w:t xml:space="preserve">ize: ordinary type </w:t>
      </w:r>
      <w:r w:rsidR="00ED0371" w:rsidRPr="00982E02">
        <w:rPr>
          <w:rFonts w:eastAsia="Times New Roman" w:cs="Times New Roman"/>
          <w:szCs w:val="24"/>
          <w:lang w:val="en-US" w:eastAsia="ru-RU"/>
        </w:rPr>
        <w:t xml:space="preserve">— 12 </w:t>
      </w:r>
      <w:r w:rsidR="00C229EC">
        <w:rPr>
          <w:rFonts w:eastAsia="Times New Roman" w:cs="Times New Roman"/>
          <w:szCs w:val="24"/>
          <w:lang w:val="en-US" w:eastAsia="ru-RU"/>
        </w:rPr>
        <w:t>pt</w:t>
      </w:r>
      <w:r w:rsidR="00ED0371" w:rsidRPr="00982E02">
        <w:rPr>
          <w:rFonts w:eastAsia="Times New Roman" w:cs="Times New Roman"/>
          <w:szCs w:val="24"/>
          <w:lang w:val="en-US" w:eastAsia="ru-RU"/>
        </w:rPr>
        <w:t>, </w:t>
      </w:r>
      <w:r w:rsidR="00982E02" w:rsidRPr="00982E02">
        <w:rPr>
          <w:rFonts w:eastAsia="Times New Roman" w:cs="Times New Roman"/>
          <w:szCs w:val="24"/>
          <w:lang w:val="en-US" w:eastAsia="ru-RU"/>
        </w:rPr>
        <w:t>subject-heading</w:t>
      </w:r>
      <w:r w:rsidR="00ED0371" w:rsidRPr="00982E02">
        <w:rPr>
          <w:rFonts w:eastAsia="Times New Roman" w:cs="Times New Roman"/>
          <w:szCs w:val="24"/>
          <w:lang w:val="en-US" w:eastAsia="ru-RU"/>
        </w:rPr>
        <w:t xml:space="preserve"> — 9 </w:t>
      </w:r>
      <w:r w:rsidR="00C229EC">
        <w:rPr>
          <w:rFonts w:eastAsia="Times New Roman" w:cs="Times New Roman"/>
          <w:szCs w:val="24"/>
          <w:lang w:val="en-US" w:eastAsia="ru-RU"/>
        </w:rPr>
        <w:t>pt</w:t>
      </w:r>
      <w:r w:rsidR="00ED0371" w:rsidRPr="00982E02">
        <w:rPr>
          <w:rFonts w:eastAsia="Times New Roman" w:cs="Times New Roman"/>
          <w:szCs w:val="24"/>
          <w:lang w:val="en-US" w:eastAsia="ru-RU"/>
        </w:rPr>
        <w:t xml:space="preserve">, </w:t>
      </w:r>
      <w:r w:rsidR="00982E02">
        <w:rPr>
          <w:rFonts w:eastAsia="Times New Roman" w:cs="Times New Roman"/>
          <w:szCs w:val="24"/>
          <w:lang w:val="en-US" w:eastAsia="ru-RU"/>
        </w:rPr>
        <w:t>small</w:t>
      </w:r>
      <w:r w:rsidR="00982E02" w:rsidRPr="00982E02">
        <w:rPr>
          <w:rFonts w:eastAsia="Times New Roman" w:cs="Times New Roman"/>
          <w:szCs w:val="24"/>
          <w:lang w:val="en-US" w:eastAsia="ru-RU"/>
        </w:rPr>
        <w:t xml:space="preserve"> subject-heading</w:t>
      </w:r>
      <w:r w:rsidR="00ED0371" w:rsidRPr="00982E02">
        <w:rPr>
          <w:rFonts w:eastAsia="Times New Roman" w:cs="Times New Roman"/>
          <w:szCs w:val="24"/>
          <w:lang w:val="en-US" w:eastAsia="ru-RU"/>
        </w:rPr>
        <w:t xml:space="preserve"> — 7 </w:t>
      </w:r>
      <w:r w:rsidR="00C229EC">
        <w:rPr>
          <w:rFonts w:eastAsia="Times New Roman" w:cs="Times New Roman"/>
          <w:szCs w:val="24"/>
          <w:lang w:val="en-US" w:eastAsia="ru-RU"/>
        </w:rPr>
        <w:t>pt</w:t>
      </w:r>
      <w:r w:rsidR="00ED0371" w:rsidRPr="00982E02">
        <w:rPr>
          <w:rFonts w:eastAsia="Times New Roman" w:cs="Times New Roman"/>
          <w:szCs w:val="24"/>
          <w:lang w:val="en-US" w:eastAsia="ru-RU"/>
        </w:rPr>
        <w:t>,</w:t>
      </w:r>
      <w:r w:rsidR="00ED0371" w:rsidRPr="00982E02">
        <w:rPr>
          <w:rFonts w:eastAsia="Times New Roman" w:cs="Times New Roman"/>
          <w:szCs w:val="24"/>
          <w:lang w:val="en-US" w:eastAsia="ru-RU"/>
        </w:rPr>
        <w:br/>
      </w:r>
      <w:r w:rsidR="00982E02" w:rsidRPr="00982E02">
        <w:rPr>
          <w:rFonts w:eastAsia="Times New Roman" w:cs="Times New Roman"/>
          <w:szCs w:val="24"/>
          <w:lang w:val="en-US" w:eastAsia="ru-RU"/>
        </w:rPr>
        <w:t xml:space="preserve">large type </w:t>
      </w:r>
      <w:r w:rsidR="00ED0371" w:rsidRPr="00982E02">
        <w:rPr>
          <w:rFonts w:eastAsia="Times New Roman" w:cs="Times New Roman"/>
          <w:szCs w:val="24"/>
          <w:lang w:val="en-US" w:eastAsia="ru-RU"/>
        </w:rPr>
        <w:t>— 14 </w:t>
      </w:r>
      <w:r w:rsidR="00C229EC">
        <w:rPr>
          <w:rFonts w:eastAsia="Times New Roman" w:cs="Times New Roman"/>
          <w:szCs w:val="24"/>
          <w:lang w:val="en-US" w:eastAsia="ru-RU"/>
        </w:rPr>
        <w:t>pt</w:t>
      </w:r>
      <w:r w:rsidR="00ED0371" w:rsidRPr="00982E02">
        <w:rPr>
          <w:rFonts w:eastAsia="Times New Roman" w:cs="Times New Roman"/>
          <w:szCs w:val="24"/>
          <w:lang w:val="en-US" w:eastAsia="ru-RU"/>
        </w:rPr>
        <w:t xml:space="preserve">, </w:t>
      </w:r>
      <w:r w:rsidR="00982E02">
        <w:rPr>
          <w:rFonts w:eastAsia="Times New Roman" w:cs="Times New Roman"/>
          <w:szCs w:val="24"/>
          <w:lang w:val="en-US" w:eastAsia="ru-RU"/>
        </w:rPr>
        <w:t>small</w:t>
      </w:r>
      <w:r w:rsidR="00982E02" w:rsidRPr="00982E02">
        <w:rPr>
          <w:rFonts w:eastAsia="Times New Roman" w:cs="Times New Roman"/>
          <w:szCs w:val="24"/>
          <w:lang w:val="en-US" w:eastAsia="ru-RU"/>
        </w:rPr>
        <w:t xml:space="preserve"> </w:t>
      </w:r>
      <w:r w:rsidR="00982E02">
        <w:rPr>
          <w:rFonts w:eastAsia="Times New Roman" w:cs="Times New Roman"/>
          <w:szCs w:val="24"/>
          <w:lang w:val="en-US" w:eastAsia="ru-RU"/>
        </w:rPr>
        <w:t>type</w:t>
      </w:r>
      <w:r w:rsidR="00ED0371" w:rsidRPr="00982E02">
        <w:rPr>
          <w:rFonts w:eastAsia="Times New Roman" w:cs="Times New Roman"/>
          <w:szCs w:val="24"/>
          <w:lang w:val="en-US" w:eastAsia="ru-RU"/>
        </w:rPr>
        <w:t xml:space="preserve"> — 10 </w:t>
      </w:r>
      <w:r w:rsidR="00C229EC">
        <w:rPr>
          <w:rFonts w:eastAsia="Times New Roman" w:cs="Times New Roman"/>
          <w:szCs w:val="24"/>
          <w:lang w:val="en-US" w:eastAsia="ru-RU"/>
        </w:rPr>
        <w:t>pt</w:t>
      </w:r>
      <w:r w:rsidR="00ED0371" w:rsidRPr="00982E02">
        <w:rPr>
          <w:rFonts w:eastAsia="Times New Roman" w:cs="Times New Roman"/>
          <w:szCs w:val="24"/>
          <w:lang w:val="en-US" w:eastAsia="ru-RU"/>
        </w:rPr>
        <w:t xml:space="preserve"> (</w:t>
      </w:r>
      <w:r w:rsidR="00982E02" w:rsidRPr="00982E02">
        <w:rPr>
          <w:rFonts w:eastAsia="Times New Roman" w:cs="Times New Roman"/>
          <w:szCs w:val="24"/>
          <w:lang w:val="en-US" w:eastAsia="ru-RU"/>
        </w:rPr>
        <w:t>to change the parameters, click the "Size" tab ==&gt; "Define" and set the essentials</w:t>
      </w:r>
      <w:r w:rsidR="00ED0371" w:rsidRPr="00982E02">
        <w:rPr>
          <w:rFonts w:eastAsia="Times New Roman" w:cs="Times New Roman"/>
          <w:szCs w:val="24"/>
          <w:lang w:val="en-US" w:eastAsia="ru-RU"/>
        </w:rPr>
        <w:t>);</w:t>
      </w:r>
    </w:p>
    <w:p w:rsidR="00ED0371" w:rsidRPr="001E541D" w:rsidRDefault="001E541D" w:rsidP="001E541D">
      <w:pPr>
        <w:numPr>
          <w:ilvl w:val="0"/>
          <w:numId w:val="3"/>
        </w:numPr>
        <w:rPr>
          <w:rFonts w:eastAsia="Times New Roman" w:cs="Times New Roman"/>
          <w:szCs w:val="24"/>
          <w:lang w:val="en-US" w:eastAsia="ru-RU"/>
        </w:rPr>
      </w:pPr>
      <w:r w:rsidRPr="001E541D">
        <w:rPr>
          <w:rFonts w:eastAsia="Times New Roman" w:cs="Times New Roman"/>
          <w:szCs w:val="24"/>
          <w:lang w:val="en-US" w:eastAsia="ru-RU"/>
        </w:rPr>
        <w:t>fon</w:t>
      </w:r>
      <w:r>
        <w:rPr>
          <w:rFonts w:eastAsia="Times New Roman" w:cs="Times New Roman"/>
          <w:szCs w:val="24"/>
          <w:lang w:val="en-US" w:eastAsia="ru-RU"/>
        </w:rPr>
        <w:t xml:space="preserve">t type: variable and lowercase greek </w:t>
      </w:r>
      <w:r w:rsidRPr="00982E02">
        <w:rPr>
          <w:rFonts w:eastAsia="Times New Roman" w:cs="Times New Roman"/>
          <w:szCs w:val="24"/>
          <w:lang w:val="en-US" w:eastAsia="ru-RU"/>
        </w:rPr>
        <w:t>—</w:t>
      </w:r>
      <w:r>
        <w:rPr>
          <w:rFonts w:eastAsia="Times New Roman" w:cs="Times New Roman"/>
          <w:szCs w:val="24"/>
          <w:lang w:val="en-US" w:eastAsia="ru-RU"/>
        </w:rPr>
        <w:t xml:space="preserve"> italics, the rest </w:t>
      </w:r>
      <w:r w:rsidRPr="00982E02">
        <w:rPr>
          <w:rFonts w:eastAsia="Times New Roman" w:cs="Times New Roman"/>
          <w:szCs w:val="24"/>
          <w:lang w:val="en-US" w:eastAsia="ru-RU"/>
        </w:rPr>
        <w:t>—</w:t>
      </w:r>
      <w:r>
        <w:rPr>
          <w:rFonts w:eastAsia="Times New Roman" w:cs="Times New Roman"/>
          <w:szCs w:val="24"/>
          <w:lang w:val="en-US" w:eastAsia="ru-RU"/>
        </w:rPr>
        <w:t xml:space="preserve"> </w:t>
      </w:r>
      <w:r w:rsidRPr="001E541D">
        <w:rPr>
          <w:rFonts w:eastAsia="Times New Roman" w:cs="Times New Roman"/>
          <w:szCs w:val="24"/>
          <w:lang w:val="en-US" w:eastAsia="ru-RU"/>
        </w:rPr>
        <w:t>straight lines</w:t>
      </w:r>
      <w:r w:rsidR="00ED0371" w:rsidRPr="001E541D">
        <w:rPr>
          <w:rFonts w:eastAsia="Times New Roman" w:cs="Times New Roman"/>
          <w:szCs w:val="24"/>
          <w:lang w:val="en-US" w:eastAsia="ru-RU"/>
        </w:rPr>
        <w:t>.</w:t>
      </w:r>
    </w:p>
    <w:p w:rsidR="00ED0371" w:rsidRPr="00CC7CE0" w:rsidRDefault="00ED0371" w:rsidP="000525FB">
      <w:pPr>
        <w:pStyle w:val="a8"/>
        <w:tabs>
          <w:tab w:val="center" w:pos="4320"/>
          <w:tab w:val="right" w:pos="9244"/>
        </w:tabs>
        <w:ind w:firstLine="0"/>
        <w:jc w:val="center"/>
        <w:rPr>
          <w:rFonts w:ascii="Cambria" w:hAnsi="Cambria"/>
          <w:sz w:val="20"/>
          <w:szCs w:val="20"/>
          <w:lang w:val="en-US"/>
        </w:rPr>
      </w:pPr>
      <w:r w:rsidRPr="001E541D">
        <w:rPr>
          <w:rFonts w:cs="Times New Roman"/>
          <w:sz w:val="20"/>
          <w:szCs w:val="20"/>
          <w:lang w:val="en-US"/>
        </w:rPr>
        <w:tab/>
      </w:r>
      <m:oMath>
        <m:r>
          <w:rPr>
            <w:rFonts w:ascii="Cambria Math" w:hAnsi="Cambria Math" w:cs="Cambria Math"/>
            <w:sz w:val="20"/>
            <w:szCs w:val="20"/>
          </w:rPr>
          <m:t>x</m:t>
        </m:r>
        <m:r>
          <m:rPr>
            <m:sty m:val="p"/>
          </m:rPr>
          <w:rPr>
            <w:rFonts w:ascii="Cambria Math" w:hAnsi="Cambria Math" w:cs="Cambria Math"/>
            <w:sz w:val="20"/>
            <w:szCs w:val="20"/>
            <w:lang w:val="en-US"/>
          </w:rPr>
          <m:t>=</m:t>
        </m:r>
        <m:f>
          <m:fPr>
            <m:ctrlPr>
              <w:rPr>
                <w:rFonts w:ascii="Cambria Math" w:hAnsi="Cambria Math" w:cs="Times New Roman"/>
                <w:sz w:val="20"/>
                <w:szCs w:val="20"/>
              </w:rPr>
            </m:ctrlPr>
          </m:fPr>
          <m:num>
            <m:r>
              <m:rPr>
                <m:sty m:val="p"/>
              </m:rPr>
              <w:rPr>
                <w:rFonts w:ascii="Cambria Math" w:hAnsi="Cambria Math" w:cs="Cambria Math"/>
                <w:sz w:val="20"/>
                <w:szCs w:val="20"/>
                <w:lang w:val="en-US"/>
              </w:rPr>
              <m:t>-</m:t>
            </m:r>
            <m:r>
              <w:rPr>
                <w:rFonts w:ascii="Cambria Math" w:hAnsi="Cambria Math" w:cs="Cambria Math"/>
                <w:sz w:val="20"/>
                <w:szCs w:val="20"/>
              </w:rPr>
              <m:t>b</m:t>
            </m:r>
            <m:r>
              <m:rPr>
                <m:sty m:val="p"/>
              </m:rPr>
              <w:rPr>
                <w:rFonts w:ascii="Cambria Math" w:hAnsi="Cambria Math" w:cs="Cambria Math"/>
                <w:sz w:val="20"/>
                <w:szCs w:val="20"/>
                <w:lang w:val="en-US"/>
              </w:rPr>
              <m:t>±</m:t>
            </m:r>
            <m:rad>
              <m:radPr>
                <m:degHide m:val="1"/>
                <m:ctrlPr>
                  <w:rPr>
                    <w:rFonts w:ascii="Cambria Math" w:hAnsi="Cambria Math" w:cs="Times New Roman"/>
                    <w:sz w:val="20"/>
                    <w:szCs w:val="20"/>
                  </w:rPr>
                </m:ctrlPr>
              </m:radPr>
              <m:deg/>
              <m:e>
                <m:sSup>
                  <m:sSupPr>
                    <m:ctrlPr>
                      <w:rPr>
                        <w:rFonts w:ascii="Cambria Math" w:hAnsi="Cambria Math" w:cs="Times New Roman"/>
                        <w:sz w:val="20"/>
                        <w:szCs w:val="20"/>
                      </w:rPr>
                    </m:ctrlPr>
                  </m:sSupPr>
                  <m:e>
                    <m:r>
                      <w:rPr>
                        <w:rFonts w:ascii="Cambria Math" w:hAnsi="Cambria Math" w:cs="Cambria Math"/>
                        <w:sz w:val="20"/>
                        <w:szCs w:val="20"/>
                      </w:rPr>
                      <m:t>b</m:t>
                    </m:r>
                  </m:e>
                  <m:sup>
                    <m:r>
                      <m:rPr>
                        <m:sty m:val="p"/>
                      </m:rPr>
                      <w:rPr>
                        <w:rFonts w:ascii="Cambria Math" w:hAnsi="Cambria Math" w:cs="Cambria Math"/>
                        <w:sz w:val="20"/>
                        <w:szCs w:val="20"/>
                        <w:lang w:val="en-US"/>
                      </w:rPr>
                      <m:t>2</m:t>
                    </m:r>
                  </m:sup>
                </m:sSup>
                <m:r>
                  <m:rPr>
                    <m:sty m:val="p"/>
                  </m:rPr>
                  <w:rPr>
                    <w:rFonts w:ascii="Cambria Math" w:hAnsi="Cambria Math" w:cs="Cambria Math"/>
                    <w:sz w:val="20"/>
                    <w:szCs w:val="20"/>
                    <w:lang w:val="en-US"/>
                  </w:rPr>
                  <m:t>-4</m:t>
                </m:r>
                <m:r>
                  <w:rPr>
                    <w:rFonts w:ascii="Cambria Math" w:hAnsi="Cambria Math" w:cs="Cambria Math"/>
                    <w:sz w:val="20"/>
                    <w:szCs w:val="20"/>
                  </w:rPr>
                  <m:t>ac</m:t>
                </m:r>
              </m:e>
            </m:rad>
          </m:num>
          <m:den>
            <m:r>
              <m:rPr>
                <m:sty m:val="p"/>
              </m:rPr>
              <w:rPr>
                <w:rFonts w:ascii="Cambria Math" w:hAnsi="Cambria Math" w:cs="Cambria Math"/>
                <w:sz w:val="20"/>
                <w:szCs w:val="20"/>
                <w:lang w:val="en-US"/>
              </w:rPr>
              <m:t>2</m:t>
            </m:r>
            <m:r>
              <w:rPr>
                <w:rFonts w:ascii="Cambria Math" w:hAnsi="Cambria Math" w:cs="Cambria Math"/>
                <w:sz w:val="20"/>
                <w:szCs w:val="20"/>
              </w:rPr>
              <m:t>a</m:t>
            </m:r>
          </m:den>
        </m:f>
      </m:oMath>
      <w:r w:rsidRPr="00CC7CE0">
        <w:rPr>
          <w:rFonts w:cs="Times New Roman"/>
          <w:sz w:val="20"/>
          <w:szCs w:val="20"/>
          <w:lang w:val="en-US"/>
        </w:rPr>
        <w:tab/>
        <w:t>(1)</w:t>
      </w:r>
    </w:p>
    <w:p w:rsidR="001E541D" w:rsidRPr="001E541D" w:rsidRDefault="00C30BCB" w:rsidP="00ED0371">
      <w:pPr>
        <w:rPr>
          <w:rFonts w:eastAsia="Times New Roman" w:cs="Times New Roman"/>
          <w:szCs w:val="24"/>
          <w:lang w:val="en-US" w:eastAsia="ru-RU"/>
        </w:rPr>
      </w:pPr>
      <w:r>
        <w:rPr>
          <w:rFonts w:eastAsia="Times New Roman" w:cs="Times New Roman"/>
          <w:szCs w:val="24"/>
          <w:lang w:val="en-US" w:eastAsia="ru-RU"/>
        </w:rPr>
        <w:t>It’s necessary to p</w:t>
      </w:r>
      <w:r w:rsidRPr="001E541D">
        <w:rPr>
          <w:rFonts w:eastAsia="Times New Roman" w:cs="Times New Roman"/>
          <w:szCs w:val="24"/>
          <w:lang w:val="en-US" w:eastAsia="ru-RU"/>
        </w:rPr>
        <w:t>erform</w:t>
      </w:r>
      <w:r w:rsidR="001E541D">
        <w:rPr>
          <w:rFonts w:eastAsia="Times New Roman" w:cs="Times New Roman"/>
          <w:szCs w:val="24"/>
          <w:lang w:val="en-US" w:eastAsia="ru-RU"/>
        </w:rPr>
        <w:t xml:space="preserve"> n</w:t>
      </w:r>
      <w:r w:rsidR="001E541D" w:rsidRPr="001E541D">
        <w:rPr>
          <w:rFonts w:eastAsia="Times New Roman" w:cs="Times New Roman"/>
          <w:szCs w:val="24"/>
          <w:lang w:val="en-US" w:eastAsia="ru-RU"/>
        </w:rPr>
        <w:t>umbered and bulleted lists using the appropriate MS Word tools, not manually.</w:t>
      </w:r>
    </w:p>
    <w:p w:rsidR="00ED0371" w:rsidRPr="001E541D" w:rsidRDefault="00ED0371" w:rsidP="00ED0371">
      <w:pPr>
        <w:rPr>
          <w:lang w:val="en-US" w:eastAsia="ru-RU"/>
        </w:rPr>
      </w:pPr>
    </w:p>
    <w:p w:rsidR="00ED0371" w:rsidRDefault="00255F6A" w:rsidP="00EA3539">
      <w:pPr>
        <w:pStyle w:val="1"/>
        <w:numPr>
          <w:ilvl w:val="0"/>
          <w:numId w:val="22"/>
        </w:numPr>
      </w:pPr>
      <w:r>
        <w:rPr>
          <w:lang w:val="en-US"/>
        </w:rPr>
        <w:t>Discussion</w:t>
      </w:r>
    </w:p>
    <w:p w:rsidR="00994681" w:rsidRPr="00C60E3E" w:rsidRDefault="00C60E3E" w:rsidP="00C60E3E">
      <w:pPr>
        <w:rPr>
          <w:lang w:val="en-US" w:eastAsia="ru-RU"/>
        </w:rPr>
      </w:pPr>
      <w:r w:rsidRPr="00C60E3E">
        <w:rPr>
          <w:lang w:val="en-US" w:eastAsia="ru-RU"/>
        </w:rPr>
        <w:t xml:space="preserve">This section is characterized by </w:t>
      </w:r>
      <w:r w:rsidR="00BC606F">
        <w:rPr>
          <w:lang w:val="en-US" w:eastAsia="ru-RU"/>
        </w:rPr>
        <w:t>the authors</w:t>
      </w:r>
      <w:r w:rsidR="00BC606F" w:rsidRPr="00C60E3E">
        <w:rPr>
          <w:lang w:val="en-US" w:eastAsia="ru-RU"/>
        </w:rPr>
        <w:t xml:space="preserve">' </w:t>
      </w:r>
      <w:r w:rsidR="00BC606F">
        <w:rPr>
          <w:lang w:val="en-US" w:eastAsia="ru-RU"/>
        </w:rPr>
        <w:t xml:space="preserve">critical thinking </w:t>
      </w:r>
      <w:r w:rsidRPr="00C60E3E">
        <w:rPr>
          <w:lang w:val="en-US" w:eastAsia="ru-RU"/>
        </w:rPr>
        <w:t xml:space="preserve">on their research. </w:t>
      </w:r>
      <w:r w:rsidR="00897DFC">
        <w:rPr>
          <w:lang w:val="en-US" w:eastAsia="ru-RU"/>
        </w:rPr>
        <w:t>I</w:t>
      </w:r>
      <w:r w:rsidRPr="00C60E3E">
        <w:rPr>
          <w:lang w:val="en-US" w:eastAsia="ru-RU"/>
        </w:rPr>
        <w:t xml:space="preserve">t is necessary to explain </w:t>
      </w:r>
      <w:r w:rsidR="00897DFC">
        <w:rPr>
          <w:lang w:val="en-US" w:eastAsia="ru-RU"/>
        </w:rPr>
        <w:t xml:space="preserve">here </w:t>
      </w:r>
      <w:r w:rsidRPr="00C60E3E">
        <w:rPr>
          <w:lang w:val="en-US" w:eastAsia="ru-RU"/>
        </w:rPr>
        <w:t>as precisely as possible the meaning of the results obtained in the previous section and to demonstrate how they relate to other studies presented in the international scie</w:t>
      </w:r>
      <w:r w:rsidR="00897DFC">
        <w:rPr>
          <w:lang w:val="en-US" w:eastAsia="ru-RU"/>
        </w:rPr>
        <w:t>nce stage</w:t>
      </w:r>
      <w:r w:rsidRPr="00C60E3E">
        <w:rPr>
          <w:lang w:val="en-US" w:eastAsia="ru-RU"/>
        </w:rPr>
        <w:t>.</w:t>
      </w:r>
    </w:p>
    <w:p w:rsidR="00657A17" w:rsidRDefault="00255F6A" w:rsidP="00EA3539">
      <w:pPr>
        <w:pStyle w:val="1"/>
        <w:numPr>
          <w:ilvl w:val="0"/>
          <w:numId w:val="22"/>
        </w:numPr>
      </w:pPr>
      <w:r>
        <w:rPr>
          <w:lang w:val="en-US"/>
        </w:rPr>
        <w:t>Conclusion</w:t>
      </w:r>
    </w:p>
    <w:p w:rsidR="000B267B" w:rsidRPr="000B267B" w:rsidRDefault="000B267B" w:rsidP="006F3E02">
      <w:pPr>
        <w:rPr>
          <w:color w:val="000000" w:themeColor="text1"/>
          <w:lang w:val="en-US" w:eastAsia="ru-RU"/>
        </w:rPr>
      </w:pPr>
      <w:r w:rsidRPr="000B267B">
        <w:rPr>
          <w:color w:val="000000" w:themeColor="text1"/>
          <w:lang w:val="en-US" w:eastAsia="ru-RU"/>
        </w:rPr>
        <w:t xml:space="preserve">This section summarizes the results of the study. </w:t>
      </w:r>
      <w:r>
        <w:rPr>
          <w:color w:val="000000" w:themeColor="text1"/>
          <w:lang w:val="en-US" w:eastAsia="ru-RU"/>
        </w:rPr>
        <w:t>We</w:t>
      </w:r>
      <w:r w:rsidRPr="000B267B">
        <w:rPr>
          <w:color w:val="000000" w:themeColor="text1"/>
          <w:lang w:val="en-US" w:eastAsia="ru-RU"/>
        </w:rPr>
        <w:t xml:space="preserve"> recommend</w:t>
      </w:r>
      <w:r>
        <w:rPr>
          <w:color w:val="000000" w:themeColor="text1"/>
          <w:lang w:val="en-US" w:eastAsia="ru-RU"/>
        </w:rPr>
        <w:t xml:space="preserve"> to present conclusion</w:t>
      </w:r>
      <w:r w:rsidRPr="000B267B">
        <w:rPr>
          <w:color w:val="000000" w:themeColor="text1"/>
          <w:lang w:val="en-US" w:eastAsia="ru-RU"/>
        </w:rPr>
        <w:t xml:space="preserve"> in the form of numbered </w:t>
      </w:r>
      <w:r w:rsidR="00FA56DC">
        <w:rPr>
          <w:color w:val="000000" w:themeColor="text1"/>
          <w:lang w:val="en-US" w:eastAsia="ru-RU"/>
        </w:rPr>
        <w:t>outputs</w:t>
      </w:r>
      <w:r w:rsidRPr="000B267B">
        <w:rPr>
          <w:color w:val="000000" w:themeColor="text1"/>
          <w:lang w:val="en-US" w:eastAsia="ru-RU"/>
        </w:rPr>
        <w:t xml:space="preserve"> that briefly formulate the scientific results of the article.</w:t>
      </w:r>
    </w:p>
    <w:p w:rsidR="006F3E02" w:rsidRPr="000B267B" w:rsidRDefault="006F3E02" w:rsidP="006F3E02">
      <w:pPr>
        <w:rPr>
          <w:lang w:val="en-US" w:eastAsia="ru-RU"/>
        </w:rPr>
      </w:pPr>
    </w:p>
    <w:p w:rsidR="00657A17" w:rsidRDefault="00255F6A" w:rsidP="00EA3539">
      <w:pPr>
        <w:pStyle w:val="1"/>
        <w:numPr>
          <w:ilvl w:val="0"/>
          <w:numId w:val="22"/>
        </w:numPr>
      </w:pPr>
      <w:r>
        <w:rPr>
          <w:lang w:val="en-US"/>
        </w:rPr>
        <w:t xml:space="preserve">Acknowledgements </w:t>
      </w:r>
    </w:p>
    <w:p w:rsidR="00657A17" w:rsidRPr="00AA0C89" w:rsidRDefault="00AA0C89" w:rsidP="00657A17">
      <w:pPr>
        <w:rPr>
          <w:lang w:val="en-US" w:eastAsia="ru-RU"/>
        </w:rPr>
      </w:pPr>
      <w:r w:rsidRPr="00AA0C89">
        <w:rPr>
          <w:lang w:val="en-US" w:eastAsia="ru-RU"/>
        </w:rPr>
        <w:t xml:space="preserve">This section is not </w:t>
      </w:r>
      <w:r>
        <w:rPr>
          <w:lang w:val="en-US" w:eastAsia="ru-RU"/>
        </w:rPr>
        <w:t>essential</w:t>
      </w:r>
      <w:r w:rsidRPr="00AA0C89">
        <w:rPr>
          <w:lang w:val="en-US" w:eastAsia="ru-RU"/>
        </w:rPr>
        <w:t>, it expresses gratitude for the financial, informational and other support provided to the authors during the writing of th</w:t>
      </w:r>
      <w:r>
        <w:rPr>
          <w:lang w:val="en-US" w:eastAsia="ru-RU"/>
        </w:rPr>
        <w:t>is</w:t>
      </w:r>
      <w:r w:rsidRPr="00AA0C89">
        <w:rPr>
          <w:lang w:val="en-US" w:eastAsia="ru-RU"/>
        </w:rPr>
        <w:t xml:space="preserve"> article (for example, grants, subsidies, etc.).</w:t>
      </w:r>
    </w:p>
    <w:p w:rsidR="00ED0371" w:rsidRPr="00AA0C89" w:rsidRDefault="00ED0371" w:rsidP="00ED0371">
      <w:pPr>
        <w:rPr>
          <w:lang w:val="en-US" w:eastAsia="ru-RU"/>
        </w:rPr>
      </w:pPr>
    </w:p>
    <w:p w:rsidR="00ED0371" w:rsidRPr="00CC7CE0" w:rsidRDefault="00EC2E07" w:rsidP="00E2634D">
      <w:pPr>
        <w:pStyle w:val="1"/>
        <w:rPr>
          <w:lang w:val="en-US"/>
        </w:rPr>
      </w:pPr>
      <w:r w:rsidRPr="00CC7CE0">
        <w:rPr>
          <w:lang w:val="en-US"/>
        </w:rPr>
        <w:t>References</w:t>
      </w:r>
    </w:p>
    <w:p w:rsidR="00D84AEC" w:rsidRDefault="00D84AEC" w:rsidP="00AA0C89">
      <w:pPr>
        <w:rPr>
          <w:lang w:val="en-US" w:eastAsia="ru-RU"/>
        </w:rPr>
      </w:pPr>
      <w:r w:rsidRPr="00D84AEC">
        <w:rPr>
          <w:lang w:val="en-US" w:eastAsia="ru-RU"/>
        </w:rPr>
        <w:t>The list of references should c</w:t>
      </w:r>
      <w:r w:rsidR="008B7040">
        <w:rPr>
          <w:lang w:val="en-US" w:eastAsia="ru-RU"/>
        </w:rPr>
        <w:t xml:space="preserve">ontain at least 25 sources. You should arrange all </w:t>
      </w:r>
      <w:r w:rsidR="008B7040" w:rsidRPr="00D84AEC">
        <w:rPr>
          <w:lang w:val="en-US" w:eastAsia="ru-RU"/>
        </w:rPr>
        <w:t>sources</w:t>
      </w:r>
      <w:r w:rsidRPr="00D84AEC">
        <w:rPr>
          <w:lang w:val="en-US" w:eastAsia="ru-RU"/>
        </w:rPr>
        <w:t xml:space="preserve"> in the order of their mention in the text. The list of references includes only scientific articles, collections of articles, monographs, collections of conferences on the topic of research. References to analytical reports, Internet resources, legislative acts and government resolutions, and other sources that are not scientific, are made using footnotes and are NOT included in the list of references. Only one English-language list of references should be prepared for t</w:t>
      </w:r>
      <w:r>
        <w:rPr>
          <w:lang w:val="en-US" w:eastAsia="ru-RU"/>
        </w:rPr>
        <w:t xml:space="preserve">he article. </w:t>
      </w:r>
      <w:r w:rsidRPr="00D84AEC">
        <w:rPr>
          <w:lang w:val="en-US" w:eastAsia="ru-RU"/>
        </w:rPr>
        <w:t>The share of articles in scientific journals should be more than 80%</w:t>
      </w:r>
      <w:r>
        <w:rPr>
          <w:lang w:val="en-US" w:eastAsia="ru-RU"/>
        </w:rPr>
        <w:t xml:space="preserve"> in the list of references</w:t>
      </w:r>
      <w:r w:rsidRPr="00D84AEC">
        <w:rPr>
          <w:lang w:val="en-US" w:eastAsia="ru-RU"/>
        </w:rPr>
        <w:t>. All sources must have a DOI.</w:t>
      </w:r>
    </w:p>
    <w:p w:rsidR="00AA0C89" w:rsidRPr="00AA0C89" w:rsidRDefault="006C1CC5" w:rsidP="00AA0C89">
      <w:pPr>
        <w:rPr>
          <w:lang w:val="en-US" w:eastAsia="ru-RU"/>
        </w:rPr>
      </w:pPr>
      <w:r>
        <w:rPr>
          <w:lang w:val="en-US" w:eastAsia="ru-RU"/>
        </w:rPr>
        <w:t>For exception these kind of mistakes</w:t>
      </w:r>
      <w:r w:rsidR="00AA0C89" w:rsidRPr="00AA0C89">
        <w:rPr>
          <w:lang w:val="en-US" w:eastAsia="ru-RU"/>
        </w:rPr>
        <w:t xml:space="preserve">, </w:t>
      </w:r>
      <w:r w:rsidR="00344163">
        <w:rPr>
          <w:lang w:val="en-US" w:eastAsia="ru-RU"/>
        </w:rPr>
        <w:t>we strongly recommend</w:t>
      </w:r>
      <w:r w:rsidR="00AA0C89" w:rsidRPr="00AA0C89">
        <w:rPr>
          <w:lang w:val="en-US" w:eastAsia="ru-RU"/>
        </w:rPr>
        <w:t xml:space="preserve"> to use the free Mendeley software. The style for the English-language list of references can be set in Mendeley Desktop. To do this, use the menu items View – Citation Stile – More Stiles – Get More Styles – Download – </w:t>
      </w:r>
      <w:r w:rsidR="00C229EC" w:rsidRPr="008E6B7E">
        <w:rPr>
          <w:lang w:val="en-US" w:eastAsia="ru-RU"/>
        </w:rPr>
        <w:t>Elsevier - Harvard (with titles)</w:t>
      </w:r>
      <w:r w:rsidR="0005798B">
        <w:rPr>
          <w:lang w:val="en-US" w:eastAsia="ru-RU"/>
        </w:rPr>
        <w:t xml:space="preserve"> </w:t>
      </w:r>
      <w:r w:rsidR="00AA0C89" w:rsidRPr="00AA0C89">
        <w:rPr>
          <w:lang w:val="en-US" w:eastAsia="ru-RU"/>
        </w:rPr>
        <w:t>in Mendeley Desktop. The text of the article should contain links to all sources from the list of references.</w:t>
      </w:r>
    </w:p>
    <w:p w:rsidR="006F3E02" w:rsidRPr="00AA0C89" w:rsidRDefault="00AA0C89" w:rsidP="00AA0C89">
      <w:pPr>
        <w:rPr>
          <w:lang w:val="en-US" w:eastAsia="ru-RU"/>
        </w:rPr>
      </w:pPr>
      <w:r w:rsidRPr="00AA0C89">
        <w:rPr>
          <w:lang w:val="en-US" w:eastAsia="ru-RU"/>
        </w:rPr>
        <w:t xml:space="preserve">For more information about the requirements for the list of references, see </w:t>
      </w:r>
      <w:hyperlink r:id="rId11" w:history="1">
        <w:r w:rsidRPr="00437C54">
          <w:rPr>
            <w:rStyle w:val="ad"/>
            <w:lang w:val="en-US" w:eastAsia="ru-RU"/>
          </w:rPr>
          <w:t>this link.</w:t>
        </w:r>
      </w:hyperlink>
    </w:p>
    <w:p w:rsidR="00CA6948" w:rsidRDefault="00CA6948" w:rsidP="0005798B">
      <w:pPr>
        <w:ind w:firstLine="0"/>
        <w:rPr>
          <w:lang w:val="en-US"/>
        </w:rPr>
      </w:pPr>
    </w:p>
    <w:p w:rsidR="0005798B" w:rsidRPr="0005798B" w:rsidRDefault="0005798B" w:rsidP="0005798B">
      <w:pPr>
        <w:ind w:firstLine="0"/>
        <w:rPr>
          <w:lang w:val="en-US"/>
        </w:rPr>
      </w:pPr>
      <w:r w:rsidRPr="0005798B">
        <w:rPr>
          <w:lang w:val="en-US"/>
        </w:rPr>
        <w:t>Example of mentioning sources in the text:</w:t>
      </w:r>
    </w:p>
    <w:p w:rsidR="0005798B" w:rsidRPr="0005798B" w:rsidRDefault="0005798B" w:rsidP="0005798B">
      <w:pPr>
        <w:ind w:firstLine="0"/>
        <w:rPr>
          <w:lang w:val="en-US"/>
        </w:rPr>
      </w:pPr>
    </w:p>
    <w:p w:rsidR="00C229EC" w:rsidRDefault="00C229EC" w:rsidP="00C229EC">
      <w:pPr>
        <w:ind w:firstLine="0"/>
        <w:rPr>
          <w:lang w:val="en-US"/>
        </w:rPr>
      </w:pPr>
      <w:r>
        <w:rPr>
          <w:lang w:val="en-US"/>
        </w:rPr>
        <w:fldChar w:fldCharType="begin" w:fldLock="1"/>
      </w:r>
      <w:r>
        <w:rPr>
          <w:lang w:val="en-US"/>
        </w:rPr>
        <w:instrText>ADDIN CSL_CITATION {"citationItems":[{"id":"ITEM-1","itemData":{"DOI":"10.3390/joitmc7010002","ISSN":"2199-8531","abstract":"The construction industry is high-tech and is one of the key areas for the strategic development of regions in terms of their digitalization. The construction complex provides regions with infrastructure of various levels from design documentation to commissioning, as well as reconstruction and major repairs of buildings. The article adopts an isolated regional approach, which is due to the need to assess specific territories by the level of readiness for digitalization of the construction complex. The purpose of the research is to determine the level of readiness of Russian regions for the digitalization of the construction complex by forming a rating of regions according to the indicator “the level of readiness of the region for digitalization of the construction complex”. To build the rating, the fuzzy sets method was applied using a triangular membership function, which allows to describe the influence of various processes on the formation of digitalization processes in the construction complex of the region. When forming the rating, a scale of fuzzy variable values is set which allows one to classify regions by levels, namely very low, low, medium, high, and very high. The generated rating is illustrated according to the specified scale. Based on the rating, the leading regions and outsider regions are identified by the formed indicator. It was determined that Moscow and Saint Petersburg are highly prepared for the digitalization of their construction complexes, and 53 regions of Russia are potentially prepared. In the future, it will be possible to create a rating of Russian regions on the level of readiness for digitalization of the construction complex with a two-year lag. Then, using the DEA shell analysis method, a quantitative assessment will be carried out that allows you to form performance boundaries and, against the background of four years, adjust the data to identify the most realistic picture. Also, the rating methodology considered by the authors allows us to scale this research to the international level, which will allow us to assess the level of digital development of construction complexes in other countries. The proposed rating algorithm is suitable for other sectors and complexes of the economy. It is enough to determine the main aggregate indicator and select groups of factors.","author":[{"dropping-particle":"","family":"Tereshko","given":"E.","non-dropping-particle":"","parse-names":false,"suffix":""},{"dropping-particle":"","family":"Romanovich","given":"M.","non-dropping-particle":"","parse-names":false,"suffix":""},{"dropping-particle":"","family":"Rudskaya","given":"I.","non-dropping-particle":"","parse-names":false,"suffix":""}],"container-title":"Journal of Open Innovation: Technology, Market, and Complexity","id":"ITEM-1","issue":"1","issued":{"date-parts":[["2020","12"]]},"page":"2","publisher":"MDPI, Open Access Journal","title":"Readiness of Regions for Digitalization of the Construction Complex","type":"article-journal","volume":"7"},"uris":["http://www.mendeley.com/documents/?uuid=ddc734f2-33c1-4f89-9b2f-23d09f9dbc82","http://www.mendeley.com/documents/?uuid=62b6960f-1443-45cb-a2f2-70cdc852df4f"]},{"id":"ITEM-2","itemData":{"DOI":"https://doi.org/10.14716/ijtech.v11i8.4528","ISSN":"2087-2100","author":[{"dropping-particle":"","family":"Skhvediani","given":"Angi","non-dropping-particle":"","parse-names":false,"suffix":""},{"dropping-particle":"","family":"Kudryavtseva","given":"Tatiana","non-dropping-particle":"","parse-names":false,"suffix":""}],"container-title":"International Journal of Technology","id":"ITEM-2","issue":"8","issued":{"date-parts":[["2020"]]},"page":"291-319","title":"Effectiveness Assessment of Investments in Robotic Biological Plant Protection","type":"article-journal","volume":"11"},"uris":["http://www.mendeley.com/documents/?uuid=87d15f6d-0504-4b4b-822f-af420acc9ecb","http://www.mendeley.com/documents/?uuid=b3940fcf-cae8-42c6-956e-1b8615e297d9"]},{"id":"ITEM-3","itemData":{"DOI":"10.5755/j01.ee.31.4.24833","ISSN":"2029-5839","abstract":"The examination of the economy-environment nexus is one of the focal issues in the field of environmental economics. This study examines the causal relationships between carbon dioxide (CO2) emissions, industry, services, and gross fixed capital formation for a panel of Balkan countries over the period 1996-2017. A three-step methodological approach is used, including panel unit root tests, panel cointegration tests, and panel causality tests. The results suggest a strong cointegration between the variables, meaning that all variables have a long-run relationship with CO2 emissions. The results of the panel causality show that there is a short-run bidirectional panel causality running between industry and services, and gross fixed capital formation and services. Moreover, there is a unidirectional causality running from industry and gross fixed capital formation to CO2 emissions, and from industry to gross fixed capital formation. The results of the long-run causal relationships show that estimated coefficients of the error correction terms (ECT) in the case of CO2 emissions, industry and gross fixed capital formation are statistically significant, indicating that these three variables are an important part in the adjustment process as the model diverges from the long-run equilibrium. Balkan countries need to further invest in the modernisation of their technological process, as well as to act following the global policy incentives. Environmental taxes, carbon capture and storage, taking part in emission trading schemes and orientation towards renewable energy sources, should further strengthen Balkan countries in achieving environmentally sound economic growth.","author":[{"dropping-particle":"","family":"Mitić","given":"Petar","non-dropping-particle":"","parse-names":false,"suffix":""},{"dropping-particle":"","family":"Kostić","given":"Aleksandar","non-dropping-particle":"","parse-names":false,"suffix":""},{"dropping-particle":"","family":"Petrović","given":"Evica","non-dropping-particle":"","parse-names":false,"suffix":""},{"dropping-particle":"","family":"Cvetanovic","given":"Slobodan","non-dropping-particle":"","parse-names":false,"suffix":""}],"container-title":"Engineering Economics","id":"ITEM-3","issue":"4","issued":{"date-parts":[["2020","10"]]},"page":"425-436","title":"The Relationship between CO2 Emissions, Industry, Services and Gross Fixed Capital Formation in the Balkan Countries","type":"article-journal","volume":"31"},"uris":["http://www.mendeley.com/documents/?uuid=e1cabe92-c82e-476b-a74d-a38b41dd3ccd","http://www.mendeley.com/documents/?uuid=86f0288e-9d81-40da-8908-6a67f4a1a19d"]},{"id":"ITEM-4","itemData":{"DOI":"10.1201/9780429466304","ISBN":"9780429466304","author":[{"dropping-particle":"","family":"Farr","given":"John Vail","non-dropping-particle":"","parse-names":false,"suffix":""},{"dropping-particle":"","family":"Faber","given":"Isaac","non-dropping-particle":"","parse-names":false,"suffix":""}],"edition":"1st Editio","id":"ITEM-4","issued":{"date-parts":[["2018","10"]]},"number-of-pages":"378","publisher":"CRC Press","publisher-place":"Boca Raton","title":"Engineering Economics of Life Cycle Cost Analysis","type":"book"},"uris":["http://www.mendeley.com/documents/?uuid=f2974afb-9bf9-4d4f-bc52-78f31236a694","http://www.mendeley.com/documents/?uuid=01816c74-a642-4bb8-96b8-716ba4489193"]},{"id":"ITEM-5","itemData":{"DOI":"10.3390/joitmc6040118","ISSN":"2199-8531","abstract":"The innovation economy is the main direction for Russian’s regional development. It is important to understand organizations that utilize new technologies will determine the significance of innovations. Innovation is changing under the influence of society—the basis for the development of the society is knowledge transfer, and this is one of the most important tasks of the higher education system. In this regard, universities can be considered a factor in innovative development. In this article, the authors hypothesize a link between regional and university indicators. We assume that universities, as part of the regional innovation system, affects the effectiveness of this system. We believe that it is necessary to single out a system of indicators that can be used for analysis, which allows us to determine the efficiency of the region in terms of contribution of universities to its development—because, at the moment, there is no official methodology. The purpose of this study is to determine which indicators are significant for assessing the efficiency of the region, taking into account the activities of university complexes. We will evaluate the efficiency of regional innovation in the region using a data envelopment analysis (DEA). The research objects, or decision-making units (DMU), will be represented by 85 regions of the Russian Federation. A complex of universities operates in each region, and there is a list of socio-economic statistical indicators based on their performance over the past years. There are similar statistical results on the innovative activity of the regions. Thus, we will use the indicators of the complex of universities in the region as initial resources for analysis (2011), as well as indicators of the innovative development of the region as a result of the introduced resources (2018). A time lag of six years is justified by the end of the crisis, and the many factors affecting the activities of universities and regions. For example, increased funding for scientific activities of universities encourages small innovative enterprises within universities. As a result, we were able to identify the level of efficiency, and identify factors that are of greater importance in the resulting model. The findings of the study highlight the importance of educational organizations in the regional innovation system, and encourages alternative interactions between universities and the region, such as joint research and development, training …","author":[{"dropping-particle":"","family":"Rodionov","given":"Dmitrii","non-dropping-particle":"","parse-names":false,"suffix":""},{"dropping-particle":"","family":"Velichenkova","given":"Daria","non-dropping-particle":"","parse-names":false,"suffix":""}],"container-title":"Journal of Open Innovation: Technology, Market, and Complexity","id":"ITEM-5","issue":"4","issued":{"date-parts":[["2020","10"]]},"page":"118","publisher":"Multidisciplinary Digital Publishing Institute","title":"Relation between Russian Universities and Regional Innovation Development","type":"article-journal","volume":"6"},"uris":["http://www.mendeley.com/documents/?uuid=4d0695ae-4499-4679-89d0-256e355fa594","http://www.mendeley.com/documents/?uuid=0d974968-c757-4bf5-b839-328d70b82b15"]},{"id":"ITEM-6","itemData":{"DOI":"10.1080/0013791X.2018.1498961","ISSN":"0013-791X","author":[{"dropping-particle":"","family":"Herath","given":"Hemantha S. B.","non-dropping-particle":"","parse-names":false,"suffix":""}],"container-title":"The Engineering Economist","id":"ITEM-6","issue":"1","issued":{"date-parts":[["2019","1"]]},"page":"40-67","title":"Postauditing and Cost Estimation Applications: An Illustration of MCMC Simulation for Bayesian Regression Analysis","type":"article-journal","volume":"64"},"uris":["http://www.mendeley.com/documents/?uuid=9783d230-3c5a-445c-8c98-714807a67a36","http://www.mendeley.com/documents/?uuid=cbe5b9ac-0ae0-4aa8-8734-64b471c5cd3b"]},{"id":"ITEM-7","itemData":{"DOI":"10.1016/j.renene.2019.08.094","ISSN":"09601481","author":[{"dropping-particle":"","family":"Østergaard","given":"Poul Alberg","non-dropping-particle":"","parse-names":false,"suffix":""},{"dropping-particle":"","family":"Duic","given":"Neven","non-dropping-particle":"","parse-names":false,"suffix":""},{"dropping-particle":"","family":"Noorollahi","given":"Younes","non-dropping-particle":"","parse-names":false,"suffix":""},{"dropping-particle":"","family":"Mikulcic","given":"Hrvoje","non-dropping-particle":"","parse-names":false,"suffix":""},{"dropping-particle":"","family":"Kalogirou","given":"Soteris","non-dropping-particle":"","parse-names":false,"suffix":""}],"container-title":"Renewable Energy","id":"ITEM-7","issued":{"date-parts":[["2020","2"]]},"page":"2430-2437","title":"Sustainable development using renewable energy technology","type":"article-journal","volume":"146"},"uris":["http://www.mendeley.com/documents/?uuid=dc5bb3b0-7f52-42bf-be49-e9bbbfbe2884","http://www.mendeley.com/documents/?uuid=aa362ff3-2662-4c1f-8d9a-8bb25871eafa"]},{"id":"ITEM-8","itemData":{"DOI":"10.1016/j.renene.2021.01.022","ISSN":"09601481","author":[{"dropping-particle":"","family":"Alola","given":"A.A.","non-dropping-particle":"","parse-names":false,"suffix":""},{"dropping-particle":"","family":"Akadiri","given":"S.S.","non-dropping-particle":"","parse-names":false,"suffix":""}],"container-title":"Renewable Energy","id":"ITEM-8","issued":{"date-parts":[["2021","5"]]},"page":"221-230","title":"Clean energy development in the United States amidst augmented socioeconomic aspects and country-specific policies","type":"article-journal","volume":"169"},"uris":["http://www.mendeley.com/documents/?uuid=eef76402-c25d-47ee-a9ce-649e5a13d16a","http://www.mendeley.com/documents/?uuid=4bdcc5fb-e058-485b-b9f5-cede8d130cb9"]},{"id":"ITEM-9","itemData":{"DOI":"10.1016/j.apenergy.2020.114745","ISSN":"03062619","author":[{"dropping-particle":"","family":"Abd Alla","given":"Sara","non-dropping-particle":"","parse-names":false,"suffix":""},{"dropping-particle":"","family":"Bianco","given":"Vincenzo","non-dropping-particle":"","parse-names":false,"suffix":""},{"dropping-particle":"","family":"Tagliafico","given":"Luca A.","non-dropping-particle":"","parse-names":false,"suffix":""},{"dropping-particle":"","family":"Scarpa","given":"Federico","non-dropping-particle":"","parse-names":false,"suffix":""}],"container-title":"Applied Energy","id":"ITEM-9","issued":{"date-parts":[["2020","4"]]},"page":"114745","title":"Life-cycle approach to the estimation of energy efficiency measures in the buildings sector","type":"article-journal","volume":"264"},"uris":["http://www.mendeley.com/documents/?uuid=6f1c2efa-e6d3-4893-ad4d-e2496f8ce6b5","http://www.mendeley.com/documents/?uuid=e53d3160-4788-4bee-bba6-cdef0d3885de"]},{"id":"ITEM-10","itemData":{"DOI":"10.1016/j.erss.2020.101854","ISSN":"22146296","author":[{"dropping-particle":"","family":"Lerman","given":"Laura Visintainer","non-dropping-particle":"","parse-names":false,"suffix":""},{"dropping-particle":"","family":"Gerstlberger","given":"Wolfgang","non-dropping-particle":"","parse-names":false,"suffix":""},{"dropping-particle":"","family":"Ferreira Lima","given":"Mateus","non-dropping-particle":"","parse-names":false,"suffix":""},{"dropping-particle":"","family":"Frank","given":"Alejandro G.","non-dropping-particle":"","parse-names":false,"suffix":""}],"container-title":"Energy Research &amp; Social Science","id":"ITEM-10","issued":{"date-parts":[["2021","1"]]},"page":"101854","title":"How governments, universities, and companies contribute to renewable energy development? A municipal innovation policy perspective of the triple helix","type":"article-journal","volume":"71"},"uris":["http://www.mendeley.com/documents/?uuid=9c103653-0635-4647-b2cc-009d098c7edf","http://www.mendeley.com/documents/?uuid=c7ef74ce-0240-49a7-86bd-77498dbc07a0"]},{"id":"ITEM-11","itemData":{"DOI":"10.1145/3444465.3444520","ISBN":"9781450388313","author":[{"dropping-particle":"","family":"Rodionov","given":"Dmitriy","non-dropping-particle":"","parse-names":false,"suffix":""},{"dropping-particle":"","family":"Mokeeva","given":"Tatiana","non-dropping-particle":"","parse-names":false,"suffix":""},{"dropping-particle":"","family":"Aliev","given":"Ismail","non-dropping-particle":"","parse-names":false,"suffix":""}],"container-title":"Proceedings of the 2nd International Scientific Conference on Innovations in Digital Economy: SPBPU IDE-2020","id":"ITEM-11","issued":{"date-parts":[["2020","10"]]},"page":"1-5","publisher":"ACM","publisher-place":"New York, NY, USA","title":"Development of an Optimization Model for the Formation of an Innovative Project Portfolio per Stages of the Life Cycle","type":"paper-conference"},"uris":["http://www.mendeley.com/documents/?uuid=cfc5271f-5625-402d-aef8-e56e385edb95","http://www.mendeley.com/documents/?uuid=41a3c803-d3d1-400b-a6e6-50cfeca63b5f"]}],"mendeley":{"formattedCitation":"(Abd Alla et al., 2020; Alola and Akadiri, 2021; Farr and Faber, 2018; Herath, 2019; Lerman et al., 2021; Mitić et al., 2020; Østergaard et al., 2020; Rodionov et al., 2020; Rodionov and Velichenkova, 2020; Skhvediani and Kudryavtseva, 2020; Tereshko et al., 2020)","plainTextFormattedCitation":"(Abd Alla et al., 2020; Alola and Akadiri, 2021; Farr and Faber, 2018; Herath, 2019; Lerman et al., 2021; Mitić et al., 2020; Østergaard et al., 2020; Rodionov et al., 2020; Rodionov and Velichenkova, 2020; Skhvediani and Kudryavtseva, 2020; Tereshko et al., 2020)","previouslyFormattedCitation":"(Abd Alla et al., 2020; Alola and Akadiri, 2021; Farr and Faber, 2018; Herath, 2019; Lerman et al., 2021; Mitić et al., 2020; Østergaard et al., 2020; Rodionov et al., 2020; Rodionov and Velichenkova, 2020; Skhvediani and Kudryavtseva, 2020; Tereshko et al., 2020)"},"properties":{"noteIndex":0},"schema":"https://github.com/citation-style-language/schema/raw/master/csl-citation.json"}</w:instrText>
      </w:r>
      <w:r>
        <w:rPr>
          <w:lang w:val="en-US"/>
        </w:rPr>
        <w:fldChar w:fldCharType="separate"/>
      </w:r>
      <w:r w:rsidRPr="008E6B7E">
        <w:rPr>
          <w:noProof/>
          <w:lang w:val="en-US"/>
        </w:rPr>
        <w:t>(Abd Alla et al., 2020; Alola and Akadiri, 2021; Farr and Faber, 2018; Herath, 2019; Lerman et al., 2021; Mitić et al., 2020; Østergaard et al., 2020; Rodionov et al., 2020; Rodionov and Velichenkova, 2020; Skhvediani and Kudryavtseva, 2020; Tereshko et al., 2020)</w:t>
      </w:r>
      <w:r>
        <w:rPr>
          <w:lang w:val="en-US"/>
        </w:rPr>
        <w:fldChar w:fldCharType="end"/>
      </w:r>
    </w:p>
    <w:p w:rsidR="0005798B" w:rsidRPr="00E2634D" w:rsidRDefault="0005798B" w:rsidP="0005798B">
      <w:pPr>
        <w:ind w:left="567" w:firstLine="0"/>
        <w:rPr>
          <w:lang w:val="en-US" w:eastAsia="ru-RU"/>
        </w:rPr>
      </w:pPr>
    </w:p>
    <w:p w:rsidR="0005798B" w:rsidRPr="00E2634D" w:rsidRDefault="0005798B" w:rsidP="0005798B">
      <w:pPr>
        <w:rPr>
          <w:lang w:val="en-US" w:eastAsia="ru-RU"/>
        </w:rPr>
      </w:pPr>
    </w:p>
    <w:p w:rsidR="0005798B" w:rsidRDefault="0005798B" w:rsidP="0005798B">
      <w:pPr>
        <w:ind w:firstLine="0"/>
        <w:rPr>
          <w:lang w:val="en-US" w:eastAsia="ru-RU"/>
        </w:rPr>
      </w:pPr>
      <w:r w:rsidRPr="0005798B">
        <w:rPr>
          <w:lang w:val="en-US" w:eastAsia="ru-RU"/>
        </w:rPr>
        <w:t>Example of references:</w:t>
      </w:r>
    </w:p>
    <w:p w:rsidR="0005798B" w:rsidRPr="0005798B" w:rsidRDefault="0005798B" w:rsidP="0005798B">
      <w:pPr>
        <w:ind w:firstLine="0"/>
        <w:rPr>
          <w:lang w:val="en-US" w:eastAsia="ru-RU"/>
        </w:rPr>
      </w:pPr>
    </w:p>
    <w:p w:rsidR="00C229EC" w:rsidRPr="004B29AD" w:rsidRDefault="0005798B" w:rsidP="00C229EC">
      <w:pPr>
        <w:widowControl w:val="0"/>
        <w:autoSpaceDE w:val="0"/>
        <w:autoSpaceDN w:val="0"/>
        <w:adjustRightInd w:val="0"/>
        <w:ind w:left="480" w:hanging="480"/>
        <w:rPr>
          <w:rFonts w:cs="Times New Roman"/>
          <w:noProof/>
          <w:szCs w:val="24"/>
          <w:lang w:val="en-US"/>
        </w:rPr>
      </w:pPr>
      <w:r>
        <w:rPr>
          <w:lang w:val="en-US" w:eastAsia="ru-RU"/>
        </w:rPr>
        <w:fldChar w:fldCharType="begin" w:fldLock="1"/>
      </w:r>
      <w:r>
        <w:rPr>
          <w:lang w:val="en-US" w:eastAsia="ru-RU"/>
        </w:rPr>
        <w:instrText xml:space="preserve">ADDIN Mendeley Bibliography CSL_BIBLIOGRAPHY </w:instrText>
      </w:r>
      <w:r>
        <w:rPr>
          <w:lang w:val="en-US" w:eastAsia="ru-RU"/>
        </w:rPr>
        <w:fldChar w:fldCharType="separate"/>
      </w:r>
      <w:r w:rsidR="00C229EC" w:rsidRPr="004B29AD">
        <w:rPr>
          <w:rFonts w:cs="Times New Roman"/>
          <w:noProof/>
          <w:szCs w:val="24"/>
          <w:lang w:val="en-US"/>
        </w:rPr>
        <w:t>Abd Alla, S., Bianco, V., Tagliafico, L.A., Scarpa, F., 2020. Life-cycle approach to the estimation of energy efficiency measures in the buildings sector. Appl. Energy 264, 114745. https://doi.org/10.1016/j.apenergy.2020.114745</w:t>
      </w:r>
    </w:p>
    <w:p w:rsidR="00C229EC" w:rsidRPr="004B29AD" w:rsidRDefault="00C229EC" w:rsidP="00C229EC">
      <w:pPr>
        <w:widowControl w:val="0"/>
        <w:autoSpaceDE w:val="0"/>
        <w:autoSpaceDN w:val="0"/>
        <w:adjustRightInd w:val="0"/>
        <w:ind w:left="480" w:hanging="480"/>
        <w:rPr>
          <w:rFonts w:cs="Times New Roman"/>
          <w:noProof/>
          <w:szCs w:val="24"/>
          <w:lang w:val="en-US"/>
        </w:rPr>
      </w:pPr>
      <w:r w:rsidRPr="004B29AD">
        <w:rPr>
          <w:rFonts w:cs="Times New Roman"/>
          <w:noProof/>
          <w:szCs w:val="24"/>
          <w:lang w:val="en-US"/>
        </w:rPr>
        <w:t>Alola, A.A., Akadiri, S.S., 2021. Clean energy development in the United States amidst augmented socioeconomic aspects and country-specific policies. Renew. Energy 169, 221–230. https://doi.org/10.1016/j.renene.2021.01.022</w:t>
      </w:r>
    </w:p>
    <w:p w:rsidR="00C229EC" w:rsidRPr="004B29AD" w:rsidRDefault="00C229EC" w:rsidP="00C229EC">
      <w:pPr>
        <w:widowControl w:val="0"/>
        <w:autoSpaceDE w:val="0"/>
        <w:autoSpaceDN w:val="0"/>
        <w:adjustRightInd w:val="0"/>
        <w:ind w:left="480" w:hanging="480"/>
        <w:rPr>
          <w:rFonts w:cs="Times New Roman"/>
          <w:noProof/>
          <w:szCs w:val="24"/>
          <w:lang w:val="en-US"/>
        </w:rPr>
      </w:pPr>
      <w:r w:rsidRPr="004B29AD">
        <w:rPr>
          <w:rFonts w:cs="Times New Roman"/>
          <w:noProof/>
          <w:szCs w:val="24"/>
          <w:lang w:val="en-US"/>
        </w:rPr>
        <w:lastRenderedPageBreak/>
        <w:t>Farr, J.V., Faber, I., 2018. Engineering Economics of Life Cycle Cost Analysis, 1st Editio. ed. CRC Press, Boca Raton. https://doi.org/10.1201/9780429466304</w:t>
      </w:r>
    </w:p>
    <w:p w:rsidR="00C229EC" w:rsidRPr="004B29AD" w:rsidRDefault="00C229EC" w:rsidP="00C229EC">
      <w:pPr>
        <w:widowControl w:val="0"/>
        <w:autoSpaceDE w:val="0"/>
        <w:autoSpaceDN w:val="0"/>
        <w:adjustRightInd w:val="0"/>
        <w:ind w:left="480" w:hanging="480"/>
        <w:rPr>
          <w:rFonts w:cs="Times New Roman"/>
          <w:noProof/>
          <w:szCs w:val="24"/>
          <w:lang w:val="en-US"/>
        </w:rPr>
      </w:pPr>
      <w:r w:rsidRPr="004B29AD">
        <w:rPr>
          <w:rFonts w:cs="Times New Roman"/>
          <w:noProof/>
          <w:szCs w:val="24"/>
          <w:lang w:val="en-US"/>
        </w:rPr>
        <w:t>Herath, H.S.B., 2019. Postauditing and Cost Estimation Applications: An Illustration of MCMC Simulation for Bayesian Regression Analysis. Eng. Econ. 64, 40–67. https://doi.org/10.1080/0013791X.2018.1498961</w:t>
      </w:r>
    </w:p>
    <w:p w:rsidR="00C229EC" w:rsidRPr="004B29AD" w:rsidRDefault="00C229EC" w:rsidP="00C229EC">
      <w:pPr>
        <w:widowControl w:val="0"/>
        <w:autoSpaceDE w:val="0"/>
        <w:autoSpaceDN w:val="0"/>
        <w:adjustRightInd w:val="0"/>
        <w:ind w:left="480" w:hanging="480"/>
        <w:rPr>
          <w:rFonts w:cs="Times New Roman"/>
          <w:noProof/>
          <w:szCs w:val="24"/>
          <w:lang w:val="en-US"/>
        </w:rPr>
      </w:pPr>
      <w:r w:rsidRPr="004B29AD">
        <w:rPr>
          <w:rFonts w:cs="Times New Roman"/>
          <w:noProof/>
          <w:szCs w:val="24"/>
          <w:lang w:val="en-US"/>
        </w:rPr>
        <w:t>Lerman, L.V., Gerstlberger, W., Ferreira Lima, M., Frank, A.G., 2021. How governments, universities, and companies contribute to renewable energy development? A municipal innovation policy perspective of the triple helix. Energy Res. Soc. Sci. 71, 101854. https://doi.org/10.1016/j.erss.2020.101854</w:t>
      </w:r>
    </w:p>
    <w:p w:rsidR="00C229EC" w:rsidRPr="00C229EC" w:rsidRDefault="00C229EC" w:rsidP="00C229EC">
      <w:pPr>
        <w:widowControl w:val="0"/>
        <w:autoSpaceDE w:val="0"/>
        <w:autoSpaceDN w:val="0"/>
        <w:adjustRightInd w:val="0"/>
        <w:ind w:left="480" w:hanging="480"/>
        <w:rPr>
          <w:rFonts w:cs="Times New Roman"/>
          <w:noProof/>
          <w:szCs w:val="24"/>
        </w:rPr>
      </w:pPr>
      <w:r w:rsidRPr="004B29AD">
        <w:rPr>
          <w:rFonts w:cs="Times New Roman"/>
          <w:noProof/>
          <w:szCs w:val="24"/>
          <w:lang w:val="en-US"/>
        </w:rPr>
        <w:t xml:space="preserve">Mitić, P., Kostić, A., Petrović, E., Cvetanovic, </w:t>
      </w:r>
      <w:r w:rsidRPr="00C229EC">
        <w:rPr>
          <w:rFonts w:cs="Times New Roman"/>
          <w:noProof/>
          <w:szCs w:val="24"/>
        </w:rPr>
        <w:t>S., 2020. The Relationship between CO2 Emissions, Industry, Services and Gross Fixed Capital Formation in the Balkan Countries. Eng. Econ. 31, 425–436. https://doi.org/10.5755/j01.ee.31.4.24833</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Østergaard, P.A., Duic, N., Noorollahi, Y., Mikulcic, H., Kalogirou, S., 2020. Sustainable development using renewable energy technology. Renew. Energy 146, 2430–2437. https://doi.org/10.1016/j.renene.2019.08.094</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Rodionov, D., Mokeeva, T., Aliev, I., 2020. Development of an Optimization Model for the Formation of an Innovative Project Portfolio per Stages of the Life Cycle, in: Proceedings of the 2nd International Scientific Conference on Innovations in Digital Economy: SPBPU IDE-2020. ACM, New York, NY, USA, pp. 1–5. https://doi.org/10.1145/3444465.3444520</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Rodionov, D., Velichenkova, D., 2020. Relation between Russian Universities and Regional Innovation Development. J. Open Innov. Technol. Mark. Complex. 6, 118. https://doi.org/10.3390/joitmc6040118</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Skhvediani, A., Kudryavtseva, T., 2020. Effectiveness Assessment of Investments in Robotic Biological Plant Protection. Int. J. Technol. 11, 291–319. https://doi.org/https://doi.org/10.14716/ijtech.v11i8.4528</w:t>
      </w:r>
    </w:p>
    <w:p w:rsidR="00C229EC" w:rsidRPr="00C229EC" w:rsidRDefault="00C229EC" w:rsidP="00C229EC">
      <w:pPr>
        <w:widowControl w:val="0"/>
        <w:autoSpaceDE w:val="0"/>
        <w:autoSpaceDN w:val="0"/>
        <w:adjustRightInd w:val="0"/>
        <w:ind w:left="480" w:hanging="480"/>
        <w:rPr>
          <w:rFonts w:cs="Times New Roman"/>
          <w:noProof/>
        </w:rPr>
      </w:pPr>
      <w:r w:rsidRPr="00C229EC">
        <w:rPr>
          <w:rFonts w:cs="Times New Roman"/>
          <w:noProof/>
          <w:szCs w:val="24"/>
        </w:rPr>
        <w:t>Tereshko, E., Romanovich, M., Rudskaya, I., 2020. Readiness of Regions for Digitalization of the Construction Complex. J. Open Innov. Technol. Mark. Complex. 7, 2. https://doi.org/10.3390/joitmc7010002</w:t>
      </w:r>
    </w:p>
    <w:p w:rsidR="0005798B" w:rsidRPr="0005798B" w:rsidRDefault="0005798B" w:rsidP="0005798B">
      <w:pPr>
        <w:ind w:firstLine="0"/>
        <w:rPr>
          <w:lang w:val="en-US"/>
        </w:rPr>
      </w:pPr>
      <w:r>
        <w:rPr>
          <w:lang w:val="en-US" w:eastAsia="ru-RU"/>
        </w:rPr>
        <w:fldChar w:fldCharType="end"/>
      </w:r>
    </w:p>
    <w:sectPr w:rsidR="0005798B" w:rsidRPr="0005798B" w:rsidSect="00FD225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51" w:rsidRDefault="00247051" w:rsidP="00E75CD3">
      <w:r>
        <w:separator/>
      </w:r>
    </w:p>
  </w:endnote>
  <w:endnote w:type="continuationSeparator" w:id="0">
    <w:p w:rsidR="00247051" w:rsidRDefault="00247051" w:rsidP="00E7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51" w:rsidRDefault="00247051" w:rsidP="00E75CD3">
      <w:r>
        <w:separator/>
      </w:r>
    </w:p>
  </w:footnote>
  <w:footnote w:type="continuationSeparator" w:id="0">
    <w:p w:rsidR="00247051" w:rsidRDefault="00247051" w:rsidP="00E7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8C0"/>
    <w:multiLevelType w:val="hybridMultilevel"/>
    <w:tmpl w:val="32DA5C88"/>
    <w:lvl w:ilvl="0" w:tplc="492C8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0B6737"/>
    <w:multiLevelType w:val="hybridMultilevel"/>
    <w:tmpl w:val="56463612"/>
    <w:lvl w:ilvl="0" w:tplc="0409000F">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049E4"/>
    <w:multiLevelType w:val="hybridMultilevel"/>
    <w:tmpl w:val="26EEC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41770"/>
    <w:multiLevelType w:val="multilevel"/>
    <w:tmpl w:val="C7F8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064C1"/>
    <w:multiLevelType w:val="hybridMultilevel"/>
    <w:tmpl w:val="24DC679C"/>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996B9F"/>
    <w:multiLevelType w:val="hybridMultilevel"/>
    <w:tmpl w:val="FF68F82C"/>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D1D0E"/>
    <w:multiLevelType w:val="multilevel"/>
    <w:tmpl w:val="961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1249A"/>
    <w:multiLevelType w:val="hybridMultilevel"/>
    <w:tmpl w:val="A9F21588"/>
    <w:lvl w:ilvl="0" w:tplc="F2C071FC">
      <w:start w:val="1"/>
      <w:numFmt w:val="bullet"/>
      <w:lvlText w:val=""/>
      <w:lvlJc w:val="left"/>
      <w:pPr>
        <w:ind w:left="927" w:hanging="360"/>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DDE64AB"/>
    <w:multiLevelType w:val="multilevel"/>
    <w:tmpl w:val="8394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F6502"/>
    <w:multiLevelType w:val="hybridMultilevel"/>
    <w:tmpl w:val="758E288C"/>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098794E"/>
    <w:multiLevelType w:val="hybridMultilevel"/>
    <w:tmpl w:val="1D2C8296"/>
    <w:lvl w:ilvl="0" w:tplc="81842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21D45BD"/>
    <w:multiLevelType w:val="hybridMultilevel"/>
    <w:tmpl w:val="469C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04D09"/>
    <w:multiLevelType w:val="hybridMultilevel"/>
    <w:tmpl w:val="3A22BA2C"/>
    <w:lvl w:ilvl="0" w:tplc="F2C071FC">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3" w15:restartNumberingAfterBreak="0">
    <w:nsid w:val="4BC04C0E"/>
    <w:multiLevelType w:val="multilevel"/>
    <w:tmpl w:val="F2D8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92EDD"/>
    <w:multiLevelType w:val="hybridMultilevel"/>
    <w:tmpl w:val="62EA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C331DE"/>
    <w:multiLevelType w:val="hybridMultilevel"/>
    <w:tmpl w:val="7D28F32E"/>
    <w:lvl w:ilvl="0" w:tplc="E87EF0E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8A1EEA"/>
    <w:multiLevelType w:val="hybridMultilevel"/>
    <w:tmpl w:val="383E1792"/>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296EBE"/>
    <w:multiLevelType w:val="hybridMultilevel"/>
    <w:tmpl w:val="6B6EC4A6"/>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4D76082"/>
    <w:multiLevelType w:val="multilevel"/>
    <w:tmpl w:val="616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87152"/>
    <w:multiLevelType w:val="hybridMultilevel"/>
    <w:tmpl w:val="4EB4A888"/>
    <w:lvl w:ilvl="0" w:tplc="F2C071FC">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0" w15:restartNumberingAfterBreak="0">
    <w:nsid w:val="73DF1242"/>
    <w:multiLevelType w:val="hybridMultilevel"/>
    <w:tmpl w:val="26F02A44"/>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9A2639"/>
    <w:multiLevelType w:val="hybridMultilevel"/>
    <w:tmpl w:val="130CFBB8"/>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3"/>
  </w:num>
  <w:num w:numId="3">
    <w:abstractNumId w:val="8"/>
  </w:num>
  <w:num w:numId="4">
    <w:abstractNumId w:val="18"/>
  </w:num>
  <w:num w:numId="5">
    <w:abstractNumId w:val="0"/>
  </w:num>
  <w:num w:numId="6">
    <w:abstractNumId w:val="15"/>
  </w:num>
  <w:num w:numId="7">
    <w:abstractNumId w:val="5"/>
  </w:num>
  <w:num w:numId="8">
    <w:abstractNumId w:val="4"/>
  </w:num>
  <w:num w:numId="9">
    <w:abstractNumId w:val="1"/>
  </w:num>
  <w:num w:numId="10">
    <w:abstractNumId w:val="7"/>
  </w:num>
  <w:num w:numId="11">
    <w:abstractNumId w:val="17"/>
  </w:num>
  <w:num w:numId="12">
    <w:abstractNumId w:val="16"/>
  </w:num>
  <w:num w:numId="13">
    <w:abstractNumId w:val="21"/>
  </w:num>
  <w:num w:numId="14">
    <w:abstractNumId w:val="20"/>
  </w:num>
  <w:num w:numId="15">
    <w:abstractNumId w:val="9"/>
  </w:num>
  <w:num w:numId="16">
    <w:abstractNumId w:val="12"/>
  </w:num>
  <w:num w:numId="17">
    <w:abstractNumId w:val="19"/>
  </w:num>
  <w:num w:numId="18">
    <w:abstractNumId w:val="3"/>
  </w:num>
  <w:num w:numId="19">
    <w:abstractNumId w:val="2"/>
  </w:num>
  <w:num w:numId="20">
    <w:abstractNumId w:val="10"/>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06"/>
    <w:rsid w:val="00035CE1"/>
    <w:rsid w:val="000525FB"/>
    <w:rsid w:val="00052D30"/>
    <w:rsid w:val="0005798B"/>
    <w:rsid w:val="00093B41"/>
    <w:rsid w:val="00095963"/>
    <w:rsid w:val="00096923"/>
    <w:rsid w:val="000B267B"/>
    <w:rsid w:val="000B4031"/>
    <w:rsid w:val="000E2EED"/>
    <w:rsid w:val="000F77B7"/>
    <w:rsid w:val="001052BE"/>
    <w:rsid w:val="001B3BC8"/>
    <w:rsid w:val="001D3127"/>
    <w:rsid w:val="001E541D"/>
    <w:rsid w:val="001F33FB"/>
    <w:rsid w:val="00243C9B"/>
    <w:rsid w:val="0024629E"/>
    <w:rsid w:val="00247051"/>
    <w:rsid w:val="002475E0"/>
    <w:rsid w:val="00255F6A"/>
    <w:rsid w:val="00275B25"/>
    <w:rsid w:val="002845C6"/>
    <w:rsid w:val="0028486D"/>
    <w:rsid w:val="002869E4"/>
    <w:rsid w:val="002A4C06"/>
    <w:rsid w:val="002F3FB4"/>
    <w:rsid w:val="00344163"/>
    <w:rsid w:val="00350831"/>
    <w:rsid w:val="003E623C"/>
    <w:rsid w:val="00407F66"/>
    <w:rsid w:val="00437C54"/>
    <w:rsid w:val="0044150D"/>
    <w:rsid w:val="00467C3D"/>
    <w:rsid w:val="00490631"/>
    <w:rsid w:val="004B29AD"/>
    <w:rsid w:val="004D1FB2"/>
    <w:rsid w:val="004D42C8"/>
    <w:rsid w:val="00626E10"/>
    <w:rsid w:val="00657A17"/>
    <w:rsid w:val="00671458"/>
    <w:rsid w:val="00672E94"/>
    <w:rsid w:val="006A3EA7"/>
    <w:rsid w:val="006C1CC5"/>
    <w:rsid w:val="006E3228"/>
    <w:rsid w:val="006F3E02"/>
    <w:rsid w:val="006F7249"/>
    <w:rsid w:val="00704C21"/>
    <w:rsid w:val="007102AF"/>
    <w:rsid w:val="007477B6"/>
    <w:rsid w:val="00757E40"/>
    <w:rsid w:val="00793085"/>
    <w:rsid w:val="007E4E3B"/>
    <w:rsid w:val="007E74EA"/>
    <w:rsid w:val="0082672D"/>
    <w:rsid w:val="00861760"/>
    <w:rsid w:val="00897DFC"/>
    <w:rsid w:val="008B7040"/>
    <w:rsid w:val="008D2C70"/>
    <w:rsid w:val="008F4D40"/>
    <w:rsid w:val="00930E43"/>
    <w:rsid w:val="009655BB"/>
    <w:rsid w:val="00977DB4"/>
    <w:rsid w:val="00982E02"/>
    <w:rsid w:val="00987FF1"/>
    <w:rsid w:val="00994681"/>
    <w:rsid w:val="009F3AA9"/>
    <w:rsid w:val="00A51455"/>
    <w:rsid w:val="00A8339C"/>
    <w:rsid w:val="00A933EB"/>
    <w:rsid w:val="00A941ED"/>
    <w:rsid w:val="00AA0C89"/>
    <w:rsid w:val="00AE2C10"/>
    <w:rsid w:val="00AF66BF"/>
    <w:rsid w:val="00B0094D"/>
    <w:rsid w:val="00B03FB2"/>
    <w:rsid w:val="00B078D5"/>
    <w:rsid w:val="00B179EC"/>
    <w:rsid w:val="00B26D6C"/>
    <w:rsid w:val="00B74262"/>
    <w:rsid w:val="00B7623F"/>
    <w:rsid w:val="00BC606F"/>
    <w:rsid w:val="00C229EC"/>
    <w:rsid w:val="00C30BCB"/>
    <w:rsid w:val="00C36C2A"/>
    <w:rsid w:val="00C60E3E"/>
    <w:rsid w:val="00C735B0"/>
    <w:rsid w:val="00CA6948"/>
    <w:rsid w:val="00CC7CE0"/>
    <w:rsid w:val="00CD2524"/>
    <w:rsid w:val="00CE7ED2"/>
    <w:rsid w:val="00CF4134"/>
    <w:rsid w:val="00D44CC3"/>
    <w:rsid w:val="00D50654"/>
    <w:rsid w:val="00D54489"/>
    <w:rsid w:val="00D568D5"/>
    <w:rsid w:val="00D760C6"/>
    <w:rsid w:val="00D84AEC"/>
    <w:rsid w:val="00DB2218"/>
    <w:rsid w:val="00DB4465"/>
    <w:rsid w:val="00DC23D9"/>
    <w:rsid w:val="00DC24B4"/>
    <w:rsid w:val="00E1040E"/>
    <w:rsid w:val="00E2634D"/>
    <w:rsid w:val="00E36122"/>
    <w:rsid w:val="00E51122"/>
    <w:rsid w:val="00E75CD3"/>
    <w:rsid w:val="00E96E78"/>
    <w:rsid w:val="00EA3539"/>
    <w:rsid w:val="00EC2E07"/>
    <w:rsid w:val="00ED0371"/>
    <w:rsid w:val="00F14DFA"/>
    <w:rsid w:val="00F72EC0"/>
    <w:rsid w:val="00FA56DC"/>
    <w:rsid w:val="00FC2003"/>
    <w:rsid w:val="00FD2258"/>
    <w:rsid w:val="00FD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C8BE21-C02A-4246-A75B-0E2E04AB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AA9"/>
    <w:pPr>
      <w:spacing w:after="0" w:line="240" w:lineRule="auto"/>
      <w:ind w:firstLine="567"/>
      <w:jc w:val="both"/>
    </w:pPr>
    <w:rPr>
      <w:rFonts w:ascii="Times New Roman" w:hAnsi="Times New Roman"/>
      <w:sz w:val="24"/>
    </w:rPr>
  </w:style>
  <w:style w:type="paragraph" w:styleId="1">
    <w:name w:val="heading 1"/>
    <w:basedOn w:val="a"/>
    <w:next w:val="a"/>
    <w:link w:val="10"/>
    <w:uiPriority w:val="9"/>
    <w:qFormat/>
    <w:rsid w:val="00CA6948"/>
    <w:pPr>
      <w:spacing w:after="120"/>
      <w:ind w:firstLine="0"/>
      <w:jc w:val="left"/>
      <w:outlineLvl w:val="0"/>
    </w:pPr>
    <w:rPr>
      <w:b/>
      <w:bCs/>
      <w:sz w:val="28"/>
      <w:lang w:eastAsia="ru-RU"/>
    </w:rPr>
  </w:style>
  <w:style w:type="paragraph" w:styleId="2">
    <w:name w:val="heading 2"/>
    <w:basedOn w:val="a"/>
    <w:next w:val="a"/>
    <w:link w:val="20"/>
    <w:uiPriority w:val="9"/>
    <w:unhideWhenUsed/>
    <w:qFormat/>
    <w:rsid w:val="00FD2258"/>
    <w:pPr>
      <w:ind w:firstLine="0"/>
      <w:jc w:val="center"/>
      <w:outlineLvl w:val="1"/>
    </w:pPr>
    <w:rPr>
      <w:rFonts w:eastAsia="Times New Roman" w:cs="Times New Roman"/>
      <w:b/>
      <w:szCs w:val="24"/>
      <w:lang w:eastAsia="ru-RU"/>
    </w:rPr>
  </w:style>
  <w:style w:type="paragraph" w:styleId="3">
    <w:name w:val="heading 3"/>
    <w:basedOn w:val="a"/>
    <w:next w:val="a"/>
    <w:link w:val="30"/>
    <w:uiPriority w:val="9"/>
    <w:semiHidden/>
    <w:unhideWhenUsed/>
    <w:qFormat/>
    <w:rsid w:val="009F3AA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948"/>
    <w:rPr>
      <w:rFonts w:ascii="Times New Roman" w:hAnsi="Times New Roman"/>
      <w:b/>
      <w:bCs/>
      <w:sz w:val="28"/>
      <w:lang w:eastAsia="ru-RU"/>
    </w:rPr>
  </w:style>
  <w:style w:type="paragraph" w:styleId="a3">
    <w:name w:val="Normal (Web)"/>
    <w:basedOn w:val="a"/>
    <w:uiPriority w:val="99"/>
    <w:semiHidden/>
    <w:unhideWhenUsed/>
    <w:rsid w:val="00E75CD3"/>
    <w:pPr>
      <w:spacing w:before="100" w:beforeAutospacing="1" w:after="100" w:afterAutospacing="1"/>
      <w:ind w:firstLine="0"/>
      <w:jc w:val="left"/>
    </w:pPr>
    <w:rPr>
      <w:rFonts w:eastAsia="Times New Roman" w:cs="Times New Roman"/>
      <w:szCs w:val="24"/>
      <w:lang w:eastAsia="ru-RU"/>
    </w:rPr>
  </w:style>
  <w:style w:type="character" w:styleId="a4">
    <w:name w:val="Strong"/>
    <w:basedOn w:val="a0"/>
    <w:uiPriority w:val="22"/>
    <w:qFormat/>
    <w:rsid w:val="00E75CD3"/>
    <w:rPr>
      <w:b/>
      <w:bCs/>
    </w:rPr>
  </w:style>
  <w:style w:type="paragraph" w:styleId="a5">
    <w:name w:val="footnote text"/>
    <w:basedOn w:val="a"/>
    <w:link w:val="a6"/>
    <w:uiPriority w:val="99"/>
    <w:semiHidden/>
    <w:unhideWhenUsed/>
    <w:rsid w:val="00E75CD3"/>
    <w:rPr>
      <w:szCs w:val="20"/>
    </w:rPr>
  </w:style>
  <w:style w:type="character" w:customStyle="1" w:styleId="a6">
    <w:name w:val="Текст сноски Знак"/>
    <w:basedOn w:val="a0"/>
    <w:link w:val="a5"/>
    <w:uiPriority w:val="99"/>
    <w:semiHidden/>
    <w:rsid w:val="00E75CD3"/>
    <w:rPr>
      <w:rFonts w:ascii="Times New Roman" w:hAnsi="Times New Roman"/>
      <w:sz w:val="20"/>
      <w:szCs w:val="20"/>
    </w:rPr>
  </w:style>
  <w:style w:type="character" w:styleId="a7">
    <w:name w:val="footnote reference"/>
    <w:basedOn w:val="a0"/>
    <w:uiPriority w:val="99"/>
    <w:semiHidden/>
    <w:unhideWhenUsed/>
    <w:rsid w:val="00E75CD3"/>
    <w:rPr>
      <w:vertAlign w:val="superscript"/>
    </w:rPr>
  </w:style>
  <w:style w:type="paragraph" w:styleId="a8">
    <w:name w:val="List Paragraph"/>
    <w:basedOn w:val="a"/>
    <w:uiPriority w:val="34"/>
    <w:qFormat/>
    <w:rsid w:val="00C36C2A"/>
    <w:pPr>
      <w:ind w:left="720"/>
      <w:contextualSpacing/>
    </w:pPr>
  </w:style>
  <w:style w:type="character" w:customStyle="1" w:styleId="30">
    <w:name w:val="Заголовок 3 Знак"/>
    <w:basedOn w:val="a0"/>
    <w:link w:val="3"/>
    <w:uiPriority w:val="9"/>
    <w:semiHidden/>
    <w:rsid w:val="009F3AA9"/>
    <w:rPr>
      <w:rFonts w:asciiTheme="majorHAnsi" w:eastAsiaTheme="majorEastAsia" w:hAnsiTheme="majorHAnsi" w:cstheme="majorBidi"/>
      <w:color w:val="1F3763" w:themeColor="accent1" w:themeShade="7F"/>
      <w:sz w:val="24"/>
      <w:szCs w:val="24"/>
    </w:rPr>
  </w:style>
  <w:style w:type="character" w:styleId="a9">
    <w:name w:val="Emphasis"/>
    <w:basedOn w:val="a0"/>
    <w:uiPriority w:val="20"/>
    <w:qFormat/>
    <w:rsid w:val="001D3127"/>
    <w:rPr>
      <w:i/>
      <w:iCs/>
    </w:rPr>
  </w:style>
  <w:style w:type="paragraph" w:styleId="aa">
    <w:name w:val="Body Text"/>
    <w:basedOn w:val="a"/>
    <w:link w:val="ab"/>
    <w:uiPriority w:val="99"/>
    <w:semiHidden/>
    <w:unhideWhenUsed/>
    <w:rsid w:val="001B3BC8"/>
    <w:pPr>
      <w:spacing w:after="120"/>
      <w:ind w:firstLine="0"/>
    </w:pPr>
    <w:rPr>
      <w:rFonts w:eastAsia="MS Mincho" w:cs="Times New Roman"/>
      <w:sz w:val="22"/>
      <w:szCs w:val="24"/>
      <w:lang w:val="en-GB" w:eastAsia="de-DE"/>
    </w:rPr>
  </w:style>
  <w:style w:type="character" w:customStyle="1" w:styleId="ab">
    <w:name w:val="Основной текст Знак"/>
    <w:basedOn w:val="a0"/>
    <w:link w:val="aa"/>
    <w:uiPriority w:val="99"/>
    <w:semiHidden/>
    <w:rsid w:val="001B3BC8"/>
    <w:rPr>
      <w:rFonts w:ascii="Times New Roman" w:eastAsia="MS Mincho" w:hAnsi="Times New Roman" w:cs="Times New Roman"/>
      <w:szCs w:val="24"/>
      <w:lang w:val="en-GB" w:eastAsia="de-DE"/>
    </w:rPr>
  </w:style>
  <w:style w:type="table" w:styleId="ac">
    <w:name w:val="Table Grid"/>
    <w:basedOn w:val="a1"/>
    <w:uiPriority w:val="59"/>
    <w:rsid w:val="001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D2258"/>
    <w:rPr>
      <w:rFonts w:ascii="Times New Roman" w:eastAsia="Times New Roman" w:hAnsi="Times New Roman" w:cs="Times New Roman"/>
      <w:b/>
      <w:sz w:val="24"/>
      <w:szCs w:val="24"/>
      <w:lang w:eastAsia="ru-RU"/>
    </w:rPr>
  </w:style>
  <w:style w:type="paragraph" w:customStyle="1" w:styleId="address">
    <w:name w:val="address"/>
    <w:basedOn w:val="a"/>
    <w:rsid w:val="00A933EB"/>
    <w:pPr>
      <w:overflowPunct w:val="0"/>
      <w:autoSpaceDE w:val="0"/>
      <w:autoSpaceDN w:val="0"/>
      <w:adjustRightInd w:val="0"/>
      <w:spacing w:after="200" w:line="220" w:lineRule="atLeast"/>
      <w:ind w:firstLine="0"/>
      <w:contextualSpacing/>
      <w:jc w:val="center"/>
      <w:textAlignment w:val="baseline"/>
    </w:pPr>
    <w:rPr>
      <w:rFonts w:eastAsia="Times New Roman" w:cs="Times New Roman"/>
      <w:sz w:val="18"/>
      <w:szCs w:val="20"/>
      <w:lang w:val="en-US"/>
    </w:rPr>
  </w:style>
  <w:style w:type="paragraph" w:customStyle="1" w:styleId="author">
    <w:name w:val="author"/>
    <w:basedOn w:val="a"/>
    <w:next w:val="address"/>
    <w:rsid w:val="00A933EB"/>
    <w:pPr>
      <w:overflowPunct w:val="0"/>
      <w:autoSpaceDE w:val="0"/>
      <w:autoSpaceDN w:val="0"/>
      <w:adjustRightInd w:val="0"/>
      <w:spacing w:after="200" w:line="220" w:lineRule="atLeast"/>
      <w:ind w:firstLine="0"/>
      <w:jc w:val="center"/>
      <w:textAlignment w:val="baseline"/>
    </w:pPr>
    <w:rPr>
      <w:rFonts w:eastAsia="Times New Roman" w:cs="Times New Roman"/>
      <w:sz w:val="20"/>
      <w:szCs w:val="20"/>
      <w:lang w:val="en-US"/>
    </w:rPr>
  </w:style>
  <w:style w:type="character" w:customStyle="1" w:styleId="e-mail">
    <w:name w:val="e-mail"/>
    <w:basedOn w:val="a0"/>
    <w:rsid w:val="00A933EB"/>
    <w:rPr>
      <w:rFonts w:ascii="Courier" w:hAnsi="Courier"/>
      <w:noProof/>
    </w:rPr>
  </w:style>
  <w:style w:type="character" w:customStyle="1" w:styleId="ORCID">
    <w:name w:val="ORCID"/>
    <w:basedOn w:val="a0"/>
    <w:rsid w:val="00A933EB"/>
    <w:rPr>
      <w:position w:val="0"/>
      <w:vertAlign w:val="superscript"/>
    </w:rPr>
  </w:style>
  <w:style w:type="paragraph" w:customStyle="1" w:styleId="abstract">
    <w:name w:val="abstract"/>
    <w:basedOn w:val="a"/>
    <w:rsid w:val="00A933EB"/>
    <w:pPr>
      <w:overflowPunct w:val="0"/>
      <w:autoSpaceDE w:val="0"/>
      <w:autoSpaceDN w:val="0"/>
      <w:adjustRightInd w:val="0"/>
      <w:spacing w:before="600" w:after="360" w:line="220" w:lineRule="atLeast"/>
      <w:ind w:left="567" w:right="567" w:firstLine="227"/>
      <w:contextualSpacing/>
      <w:textAlignment w:val="baseline"/>
    </w:pPr>
    <w:rPr>
      <w:rFonts w:eastAsia="Times New Roman" w:cs="Times New Roman"/>
      <w:sz w:val="18"/>
      <w:szCs w:val="20"/>
      <w:lang w:val="en-US"/>
    </w:rPr>
  </w:style>
  <w:style w:type="paragraph" w:customStyle="1" w:styleId="keywords">
    <w:name w:val="keywords"/>
    <w:basedOn w:val="abstract"/>
    <w:next w:val="a"/>
    <w:rsid w:val="00A933EB"/>
    <w:pPr>
      <w:spacing w:before="220"/>
      <w:ind w:firstLine="0"/>
      <w:contextualSpacing w:val="0"/>
      <w:jc w:val="left"/>
    </w:pPr>
  </w:style>
  <w:style w:type="paragraph" w:customStyle="1" w:styleId="papertitle">
    <w:name w:val="papertitle"/>
    <w:basedOn w:val="a"/>
    <w:next w:val="author"/>
    <w:rsid w:val="00407F66"/>
    <w:pPr>
      <w:keepNext/>
      <w:keepLines/>
      <w:suppressAutoHyphens/>
      <w:overflowPunct w:val="0"/>
      <w:autoSpaceDE w:val="0"/>
      <w:autoSpaceDN w:val="0"/>
      <w:adjustRightInd w:val="0"/>
      <w:spacing w:after="480" w:line="360" w:lineRule="atLeast"/>
      <w:ind w:firstLine="0"/>
      <w:jc w:val="center"/>
      <w:textAlignment w:val="baseline"/>
    </w:pPr>
    <w:rPr>
      <w:rFonts w:eastAsia="Times New Roman" w:cs="Times New Roman"/>
      <w:b/>
      <w:sz w:val="28"/>
      <w:szCs w:val="20"/>
      <w:lang w:val="en-US"/>
    </w:rPr>
  </w:style>
  <w:style w:type="character" w:styleId="ad">
    <w:name w:val="Hyperlink"/>
    <w:basedOn w:val="a0"/>
    <w:uiPriority w:val="99"/>
    <w:unhideWhenUsed/>
    <w:rsid w:val="000525FB"/>
    <w:rPr>
      <w:color w:val="0563C1" w:themeColor="hyperlink"/>
      <w:u w:val="single"/>
    </w:rPr>
  </w:style>
  <w:style w:type="character" w:styleId="ae">
    <w:name w:val="FollowedHyperlink"/>
    <w:basedOn w:val="a0"/>
    <w:uiPriority w:val="99"/>
    <w:semiHidden/>
    <w:unhideWhenUsed/>
    <w:rsid w:val="00437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9122">
      <w:bodyDiv w:val="1"/>
      <w:marLeft w:val="0"/>
      <w:marRight w:val="0"/>
      <w:marTop w:val="0"/>
      <w:marBottom w:val="0"/>
      <w:divBdr>
        <w:top w:val="none" w:sz="0" w:space="0" w:color="auto"/>
        <w:left w:val="none" w:sz="0" w:space="0" w:color="auto"/>
        <w:bottom w:val="none" w:sz="0" w:space="0" w:color="auto"/>
        <w:right w:val="none" w:sz="0" w:space="0" w:color="auto"/>
      </w:divBdr>
      <w:divsChild>
        <w:div w:id="125972418">
          <w:marLeft w:val="0"/>
          <w:marRight w:val="0"/>
          <w:marTop w:val="0"/>
          <w:marBottom w:val="0"/>
          <w:divBdr>
            <w:top w:val="none" w:sz="0" w:space="0" w:color="auto"/>
            <w:left w:val="none" w:sz="0" w:space="0" w:color="auto"/>
            <w:bottom w:val="none" w:sz="0" w:space="0" w:color="auto"/>
            <w:right w:val="none" w:sz="0" w:space="0" w:color="auto"/>
          </w:divBdr>
        </w:div>
      </w:divsChild>
    </w:div>
    <w:div w:id="1358657392">
      <w:bodyDiv w:val="1"/>
      <w:marLeft w:val="0"/>
      <w:marRight w:val="0"/>
      <w:marTop w:val="0"/>
      <w:marBottom w:val="0"/>
      <w:divBdr>
        <w:top w:val="none" w:sz="0" w:space="0" w:color="auto"/>
        <w:left w:val="none" w:sz="0" w:space="0" w:color="auto"/>
        <w:bottom w:val="none" w:sz="0" w:space="0" w:color="auto"/>
        <w:right w:val="none" w:sz="0" w:space="0" w:color="auto"/>
      </w:divBdr>
    </w:div>
    <w:div w:id="1377897301">
      <w:bodyDiv w:val="1"/>
      <w:marLeft w:val="0"/>
      <w:marRight w:val="0"/>
      <w:marTop w:val="0"/>
      <w:marBottom w:val="0"/>
      <w:divBdr>
        <w:top w:val="none" w:sz="0" w:space="0" w:color="auto"/>
        <w:left w:val="none" w:sz="0" w:space="0" w:color="auto"/>
        <w:bottom w:val="none" w:sz="0" w:space="0" w:color="auto"/>
        <w:right w:val="none" w:sz="0" w:space="0" w:color="auto"/>
      </w:divBdr>
    </w:div>
    <w:div w:id="1517841726">
      <w:bodyDiv w:val="1"/>
      <w:marLeft w:val="0"/>
      <w:marRight w:val="0"/>
      <w:marTop w:val="0"/>
      <w:marBottom w:val="0"/>
      <w:divBdr>
        <w:top w:val="none" w:sz="0" w:space="0" w:color="auto"/>
        <w:left w:val="none" w:sz="0" w:space="0" w:color="auto"/>
        <w:bottom w:val="none" w:sz="0" w:space="0" w:color="auto"/>
        <w:right w:val="none" w:sz="0" w:space="0" w:color="auto"/>
      </w:divBdr>
      <w:divsChild>
        <w:div w:id="796335128">
          <w:marLeft w:val="0"/>
          <w:marRight w:val="0"/>
          <w:marTop w:val="0"/>
          <w:marBottom w:val="0"/>
          <w:divBdr>
            <w:top w:val="none" w:sz="0" w:space="0" w:color="auto"/>
            <w:left w:val="none" w:sz="0" w:space="0" w:color="auto"/>
            <w:bottom w:val="none" w:sz="0" w:space="0" w:color="auto"/>
            <w:right w:val="none" w:sz="0" w:space="0" w:color="auto"/>
          </w:divBdr>
        </w:div>
      </w:divsChild>
    </w:div>
    <w:div w:id="1649285887">
      <w:bodyDiv w:val="1"/>
      <w:marLeft w:val="0"/>
      <w:marRight w:val="0"/>
      <w:marTop w:val="0"/>
      <w:marBottom w:val="0"/>
      <w:divBdr>
        <w:top w:val="none" w:sz="0" w:space="0" w:color="auto"/>
        <w:left w:val="none" w:sz="0" w:space="0" w:color="auto"/>
        <w:bottom w:val="none" w:sz="0" w:space="0" w:color="auto"/>
        <w:right w:val="none" w:sz="0" w:space="0" w:color="auto"/>
      </w:divBdr>
      <w:divsChild>
        <w:div w:id="834147082">
          <w:marLeft w:val="0"/>
          <w:marRight w:val="0"/>
          <w:marTop w:val="0"/>
          <w:marBottom w:val="0"/>
          <w:divBdr>
            <w:top w:val="none" w:sz="0" w:space="0" w:color="auto"/>
            <w:left w:val="none" w:sz="0" w:space="0" w:color="auto"/>
            <w:bottom w:val="none" w:sz="0" w:space="0" w:color="auto"/>
            <w:right w:val="none" w:sz="0" w:space="0" w:color="auto"/>
          </w:divBdr>
          <w:divsChild>
            <w:div w:id="1121341784">
              <w:marLeft w:val="0"/>
              <w:marRight w:val="0"/>
              <w:marTop w:val="0"/>
              <w:marBottom w:val="0"/>
              <w:divBdr>
                <w:top w:val="none" w:sz="0" w:space="0" w:color="auto"/>
                <w:left w:val="none" w:sz="0" w:space="0" w:color="auto"/>
                <w:bottom w:val="none" w:sz="0" w:space="0" w:color="auto"/>
                <w:right w:val="none" w:sz="0" w:space="0" w:color="auto"/>
              </w:divBdr>
              <w:divsChild>
                <w:div w:id="9057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spbstu.ru/en/e_submission_auth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spbstu.ru/en/reference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42156-9CAB-481B-B809-BEDA6901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3746</Words>
  <Characters>21354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Бразовская Виктория Владимировна</dc:creator>
  <cp:keywords/>
  <dc:description/>
  <cp:lastModifiedBy>Darya</cp:lastModifiedBy>
  <cp:revision>2</cp:revision>
  <dcterms:created xsi:type="dcterms:W3CDTF">2021-08-03T07:42:00Z</dcterms:created>
  <dcterms:modified xsi:type="dcterms:W3CDTF">2021-08-03T07:42:00Z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http://www.zotero.org/styles/elsevier-harvard</vt:lpwstr>
  </property>
  <property fmtid="{D5CDD505-2E9C-101B-9397-08002B2CF9AE}" pid="4" name="Mendeley Unique User Id_1">
    <vt:lpwstr>61d6afaa-8450-3915-991a-341f7dc528a2</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http://www.zotero.org/styles/association-for-computing-machinery</vt:lpwstr>
  </property>
  <property fmtid="{D5CDD505-2E9C-101B-9397-08002B2CF9AE}" pid="10" name="Mendeley Recent Style Name 2_1">
    <vt:lpwstr>Association for Computing Machinery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http://www.zotero.org/styles/elsevier-with-titles</vt:lpwstr>
  </property>
  <property fmtid="{D5CDD505-2E9C-101B-9397-08002B2CF9AE}" pid="16" name="Mendeley Recent Style Name 5_1">
    <vt:lpwstr>Elsevier (numeric, with titles)</vt:lpwstr>
  </property>
  <property fmtid="{D5CDD505-2E9C-101B-9397-08002B2CF9AE}" pid="17" name="Mendeley Recent Style Id 6_1">
    <vt:lpwstr>http://www.zotero.org/styles/elsevier-harvard</vt:lpwstr>
  </property>
  <property fmtid="{D5CDD505-2E9C-101B-9397-08002B2CF9AE}" pid="18" name="Mendeley Recent Style Name 6_1">
    <vt:lpwstr>Elsevier - Harvard (with titles)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