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040" w:rsidRPr="00F547D2" w:rsidRDefault="005B7737" w:rsidP="00994681">
      <w:pPr>
        <w:rPr>
          <w:rFonts w:eastAsia="Times New Roman" w:cs="Times New Roman"/>
          <w:color w:val="FF0000"/>
          <w:szCs w:val="24"/>
          <w:lang w:eastAsia="ru-RU"/>
        </w:rPr>
      </w:pPr>
      <w:bookmarkStart w:id="0" w:name="_GoBack"/>
      <w:bookmarkEnd w:id="0"/>
      <w:r>
        <w:rPr>
          <w:rFonts w:eastAsia="Times New Roman" w:cs="Times New Roman"/>
          <w:szCs w:val="24"/>
          <w:lang w:eastAsia="ru-RU"/>
        </w:rPr>
        <w:t xml:space="preserve">ФИО авторов и их данные, ключевые слова, аннотация загружаются через электронную редакцию. Подробнее об этом </w:t>
      </w:r>
      <w:hyperlink r:id="rId8" w:history="1">
        <w:r w:rsidRPr="00C50156">
          <w:rPr>
            <w:rStyle w:val="ad"/>
            <w:rFonts w:eastAsia="Times New Roman" w:cs="Times New Roman"/>
            <w:szCs w:val="24"/>
            <w:lang w:eastAsia="ru-RU"/>
          </w:rPr>
          <w:t>здесь</w:t>
        </w:r>
      </w:hyperlink>
      <w:r>
        <w:rPr>
          <w:rFonts w:eastAsia="Times New Roman" w:cs="Times New Roman"/>
          <w:szCs w:val="24"/>
          <w:lang w:eastAsia="ru-RU"/>
        </w:rPr>
        <w:t xml:space="preserve">. </w:t>
      </w:r>
    </w:p>
    <w:p w:rsidR="005B7737" w:rsidRPr="005B7737" w:rsidRDefault="005B7737" w:rsidP="00994681">
      <w:pPr>
        <w:rPr>
          <w:rFonts w:eastAsia="Times New Roman" w:cs="Times New Roman"/>
          <w:szCs w:val="24"/>
          <w:lang w:eastAsia="ru-RU"/>
        </w:rPr>
      </w:pPr>
    </w:p>
    <w:p w:rsidR="001E4040" w:rsidRPr="001E4040" w:rsidRDefault="001E4040" w:rsidP="00994681">
      <w:pPr>
        <w:rPr>
          <w:rFonts w:eastAsia="Times New Roman" w:cs="Times New Roman"/>
          <w:i/>
          <w:szCs w:val="24"/>
          <w:lang w:eastAsia="ru-RU"/>
        </w:rPr>
      </w:pPr>
      <w:r>
        <w:rPr>
          <w:rFonts w:eastAsia="Times New Roman" w:cs="Times New Roman"/>
          <w:b/>
          <w:szCs w:val="24"/>
          <w:u w:val="single"/>
          <w:lang w:eastAsia="ru-RU"/>
        </w:rPr>
        <w:t>**</w:t>
      </w:r>
      <w:r w:rsidRPr="00994681">
        <w:rPr>
          <w:rFonts w:eastAsia="Times New Roman" w:cs="Times New Roman"/>
          <w:b/>
          <w:szCs w:val="24"/>
          <w:u w:val="single"/>
          <w:lang w:eastAsia="ru-RU"/>
        </w:rPr>
        <w:t>Примечание:</w:t>
      </w:r>
      <w:r>
        <w:rPr>
          <w:rFonts w:eastAsia="Times New Roman" w:cs="Times New Roman"/>
          <w:szCs w:val="24"/>
          <w:lang w:eastAsia="ru-RU"/>
        </w:rPr>
        <w:t xml:space="preserve"> </w:t>
      </w:r>
      <w:r w:rsidRPr="001E4040">
        <w:rPr>
          <w:rFonts w:eastAsia="Times New Roman" w:cs="Times New Roman"/>
          <w:szCs w:val="24"/>
          <w:lang w:eastAsia="ru-RU"/>
        </w:rPr>
        <w:t>Основная часть статьи прикрепляется на сайте электронной редакции в документе формате .</w:t>
      </w:r>
      <w:r w:rsidRPr="001E4040">
        <w:rPr>
          <w:rFonts w:eastAsia="Times New Roman" w:cs="Times New Roman"/>
          <w:szCs w:val="24"/>
          <w:lang w:val="en-US" w:eastAsia="ru-RU"/>
        </w:rPr>
        <w:t>doc</w:t>
      </w:r>
      <w:r w:rsidRPr="001E4040">
        <w:rPr>
          <w:rFonts w:eastAsia="Times New Roman" w:cs="Times New Roman"/>
          <w:szCs w:val="24"/>
          <w:lang w:eastAsia="ru-RU"/>
        </w:rPr>
        <w:t>, .</w:t>
      </w:r>
      <w:r w:rsidRPr="001E4040">
        <w:rPr>
          <w:rFonts w:eastAsia="Times New Roman" w:cs="Times New Roman"/>
          <w:szCs w:val="24"/>
          <w:lang w:val="en-US" w:eastAsia="ru-RU"/>
        </w:rPr>
        <w:t>docx</w:t>
      </w:r>
      <w:r w:rsidRPr="001E4040">
        <w:rPr>
          <w:rFonts w:eastAsia="Times New Roman" w:cs="Times New Roman"/>
          <w:szCs w:val="24"/>
          <w:lang w:eastAsia="ru-RU"/>
        </w:rPr>
        <w:t>. Рекомендуемый объем статьи: от 4 до 6 тысяч слов.</w:t>
      </w:r>
    </w:p>
    <w:p w:rsidR="00994681" w:rsidRDefault="00994681" w:rsidP="00994681">
      <w:pPr>
        <w:rPr>
          <w:rFonts w:eastAsia="Times New Roman" w:cs="Times New Roman"/>
          <w:szCs w:val="24"/>
          <w:lang w:eastAsia="ru-RU"/>
        </w:rPr>
      </w:pPr>
    </w:p>
    <w:p w:rsidR="00A933EB" w:rsidRDefault="00CA6948" w:rsidP="00CA6948">
      <w:pPr>
        <w:pStyle w:val="1"/>
        <w:numPr>
          <w:ilvl w:val="0"/>
          <w:numId w:val="19"/>
        </w:numPr>
      </w:pPr>
      <w:r>
        <w:t xml:space="preserve">Введение </w:t>
      </w:r>
    </w:p>
    <w:p w:rsidR="00CA6948" w:rsidRDefault="00CA6948" w:rsidP="00CA6948">
      <w:pPr>
        <w:rPr>
          <w:lang w:eastAsia="ru-RU"/>
        </w:rPr>
      </w:pPr>
      <w:r w:rsidRPr="001D3127">
        <w:rPr>
          <w:lang w:eastAsia="ru-RU"/>
        </w:rPr>
        <w:t>Раздел начинается с описания объекта исследования, затем формулируется актуальность исследования. Обязательно нужно указать научную проблему и обозначить ее корреляцию с задачами, которые необходимо решить в рамках авторского исследования.</w:t>
      </w:r>
    </w:p>
    <w:p w:rsidR="00CA6948" w:rsidRDefault="00CA6948" w:rsidP="00CA6948">
      <w:pPr>
        <w:rPr>
          <w:lang w:eastAsia="ru-RU"/>
        </w:rPr>
      </w:pPr>
    </w:p>
    <w:p w:rsidR="00CA6948" w:rsidRDefault="00ED0371" w:rsidP="00CA6948">
      <w:pPr>
        <w:pStyle w:val="1"/>
        <w:numPr>
          <w:ilvl w:val="0"/>
          <w:numId w:val="19"/>
        </w:numPr>
      </w:pPr>
      <w:r>
        <w:t>Обзор литературы</w:t>
      </w:r>
    </w:p>
    <w:p w:rsidR="000B4031" w:rsidRPr="00B078D5" w:rsidRDefault="00ED0371" w:rsidP="000B4031">
      <w:pPr>
        <w:rPr>
          <w:color w:val="000000" w:themeColor="text1"/>
          <w:lang w:eastAsia="ru-RU"/>
        </w:rPr>
      </w:pPr>
      <w:r w:rsidRPr="001D3127">
        <w:rPr>
          <w:lang w:eastAsia="ru-RU"/>
        </w:rPr>
        <w:t>В данном разделе</w:t>
      </w:r>
      <w:r w:rsidRPr="000B4031">
        <w:rPr>
          <w:lang w:eastAsia="ru-RU"/>
        </w:rPr>
        <w:t> </w:t>
      </w:r>
      <w:r w:rsidRPr="001D3127">
        <w:rPr>
          <w:lang w:eastAsia="ru-RU"/>
        </w:rPr>
        <w:t>приводится обзор мировой литературы, подтверждающий отсутствие в литературных источниках решения данной задачи и/или указывающий экспертов, на исследованиях к</w:t>
      </w:r>
      <w:r>
        <w:rPr>
          <w:lang w:eastAsia="ru-RU"/>
        </w:rPr>
        <w:t>оторых базируется данная работа.</w:t>
      </w:r>
      <w:r w:rsidR="0028486D">
        <w:rPr>
          <w:lang w:eastAsia="ru-RU"/>
        </w:rPr>
        <w:t xml:space="preserve"> </w:t>
      </w:r>
      <w:r w:rsidR="000B4031" w:rsidRPr="00B078D5">
        <w:rPr>
          <w:color w:val="000000" w:themeColor="text1"/>
          <w:lang w:eastAsia="ru-RU"/>
        </w:rPr>
        <w:t>Н</w:t>
      </w:r>
      <w:r w:rsidR="007102AF" w:rsidRPr="00B078D5">
        <w:rPr>
          <w:color w:val="000000" w:themeColor="text1"/>
          <w:lang w:eastAsia="ru-RU"/>
        </w:rPr>
        <w:t>еобходимо</w:t>
      </w:r>
      <w:r w:rsidR="000B4031" w:rsidRPr="00B078D5">
        <w:rPr>
          <w:color w:val="000000" w:themeColor="text1"/>
          <w:lang w:eastAsia="ru-RU"/>
        </w:rPr>
        <w:t xml:space="preserve"> проанализировать </w:t>
      </w:r>
      <w:r w:rsidR="00B078D5" w:rsidRPr="00B078D5">
        <w:rPr>
          <w:color w:val="000000" w:themeColor="text1"/>
          <w:lang w:eastAsia="ru-RU"/>
        </w:rPr>
        <w:t xml:space="preserve">результаты, которые </w:t>
      </w:r>
      <w:r w:rsidR="000B4031" w:rsidRPr="00B078D5">
        <w:rPr>
          <w:color w:val="000000" w:themeColor="text1"/>
          <w:lang w:eastAsia="ru-RU"/>
        </w:rPr>
        <w:t>получ</w:t>
      </w:r>
      <w:r w:rsidR="00B078D5" w:rsidRPr="00B078D5">
        <w:rPr>
          <w:color w:val="000000" w:themeColor="text1"/>
          <w:lang w:eastAsia="ru-RU"/>
        </w:rPr>
        <w:t>или</w:t>
      </w:r>
      <w:r w:rsidR="000B4031" w:rsidRPr="00B078D5">
        <w:rPr>
          <w:color w:val="000000" w:themeColor="text1"/>
          <w:lang w:eastAsia="ru-RU"/>
        </w:rPr>
        <w:t xml:space="preserve"> </w:t>
      </w:r>
      <w:r w:rsidR="007102AF" w:rsidRPr="00B078D5">
        <w:rPr>
          <w:color w:val="000000" w:themeColor="text1"/>
          <w:lang w:eastAsia="ru-RU"/>
        </w:rPr>
        <w:t>рассматриваемы</w:t>
      </w:r>
      <w:r w:rsidR="00B078D5" w:rsidRPr="00B078D5">
        <w:rPr>
          <w:color w:val="000000" w:themeColor="text1"/>
          <w:lang w:eastAsia="ru-RU"/>
        </w:rPr>
        <w:t>е авторы</w:t>
      </w:r>
      <w:r w:rsidR="000B4031" w:rsidRPr="00B078D5">
        <w:rPr>
          <w:color w:val="000000" w:themeColor="text1"/>
          <w:lang w:eastAsia="ru-RU"/>
        </w:rPr>
        <w:t>, а также указать</w:t>
      </w:r>
      <w:r w:rsidR="00B078D5" w:rsidRPr="00B078D5">
        <w:rPr>
          <w:color w:val="000000" w:themeColor="text1"/>
          <w:lang w:eastAsia="ru-RU"/>
        </w:rPr>
        <w:t>,</w:t>
      </w:r>
      <w:r w:rsidR="000B4031" w:rsidRPr="00B078D5">
        <w:rPr>
          <w:color w:val="000000" w:themeColor="text1"/>
          <w:lang w:eastAsia="ru-RU"/>
        </w:rPr>
        <w:t xml:space="preserve"> как это коррелирует с проводимым исследованием в рамках вашей статьи.</w:t>
      </w:r>
    </w:p>
    <w:p w:rsidR="00ED0371" w:rsidRPr="00B078D5" w:rsidRDefault="00ED0371" w:rsidP="00ED0371">
      <w:pPr>
        <w:rPr>
          <w:color w:val="000000" w:themeColor="text1"/>
          <w:lang w:eastAsia="ru-RU"/>
        </w:rPr>
      </w:pPr>
    </w:p>
    <w:p w:rsidR="00ED0371" w:rsidRDefault="00ED0371" w:rsidP="00ED0371">
      <w:pPr>
        <w:pStyle w:val="1"/>
        <w:numPr>
          <w:ilvl w:val="0"/>
          <w:numId w:val="19"/>
        </w:numPr>
      </w:pPr>
      <w:r>
        <w:t>Материалы и методы</w:t>
      </w:r>
    </w:p>
    <w:p w:rsidR="00ED0371" w:rsidRDefault="00ED0371" w:rsidP="00ED0371">
      <w:pPr>
        <w:rPr>
          <w:lang w:eastAsia="ru-RU"/>
        </w:rPr>
      </w:pPr>
      <w:r w:rsidRPr="001D3127">
        <w:rPr>
          <w:lang w:eastAsia="ru-RU"/>
        </w:rPr>
        <w:t xml:space="preserve">В данном разделе подробно описывается выбранный метод исследования. </w:t>
      </w:r>
      <w:r w:rsidRPr="00B078D5">
        <w:rPr>
          <w:color w:val="000000" w:themeColor="text1"/>
          <w:lang w:eastAsia="ru-RU"/>
        </w:rPr>
        <w:t>Метод</w:t>
      </w:r>
      <w:r w:rsidR="007102AF" w:rsidRPr="00B078D5">
        <w:rPr>
          <w:color w:val="000000" w:themeColor="text1"/>
          <w:lang w:eastAsia="ru-RU"/>
        </w:rPr>
        <w:t>ы должны</w:t>
      </w:r>
      <w:r w:rsidRPr="00B078D5">
        <w:rPr>
          <w:color w:val="000000" w:themeColor="text1"/>
          <w:lang w:eastAsia="ru-RU"/>
        </w:rPr>
        <w:t xml:space="preserve"> быть </w:t>
      </w:r>
      <w:r w:rsidR="007102AF" w:rsidRPr="00B078D5">
        <w:rPr>
          <w:color w:val="000000" w:themeColor="text1"/>
          <w:lang w:eastAsia="ru-RU"/>
        </w:rPr>
        <w:t>представлены</w:t>
      </w:r>
      <w:r w:rsidRPr="00B078D5">
        <w:rPr>
          <w:color w:val="000000" w:themeColor="text1"/>
          <w:lang w:eastAsia="ru-RU"/>
        </w:rPr>
        <w:t xml:space="preserve"> таким образом, чтобы другой</w:t>
      </w:r>
      <w:r w:rsidR="007102AF" w:rsidRPr="00B078D5">
        <w:rPr>
          <w:color w:val="000000" w:themeColor="text1"/>
          <w:lang w:eastAsia="ru-RU"/>
        </w:rPr>
        <w:t xml:space="preserve"> ученый</w:t>
      </w:r>
      <w:r w:rsidRPr="00B078D5">
        <w:rPr>
          <w:color w:val="000000" w:themeColor="text1"/>
          <w:lang w:eastAsia="ru-RU"/>
        </w:rPr>
        <w:t xml:space="preserve"> был способен </w:t>
      </w:r>
      <w:r w:rsidR="007102AF" w:rsidRPr="00B078D5">
        <w:rPr>
          <w:color w:val="000000" w:themeColor="text1"/>
          <w:lang w:eastAsia="ru-RU"/>
        </w:rPr>
        <w:t>воспроизвести ваше исследование и получить схожие результаты.</w:t>
      </w:r>
      <w:r w:rsidRPr="00B078D5">
        <w:rPr>
          <w:color w:val="000000" w:themeColor="text1"/>
          <w:lang w:eastAsia="ru-RU"/>
        </w:rPr>
        <w:t xml:space="preserve"> Другими словами, в данном разделе </w:t>
      </w:r>
      <w:r w:rsidR="007102AF" w:rsidRPr="00B078D5">
        <w:rPr>
          <w:color w:val="000000" w:themeColor="text1"/>
          <w:lang w:eastAsia="ru-RU"/>
        </w:rPr>
        <w:t xml:space="preserve">предоставляется подробная информация о </w:t>
      </w:r>
      <w:r w:rsidRPr="00B078D5">
        <w:rPr>
          <w:color w:val="000000" w:themeColor="text1"/>
          <w:lang w:eastAsia="ru-RU"/>
        </w:rPr>
        <w:t>последовательности (поэтапн</w:t>
      </w:r>
      <w:r w:rsidR="007102AF" w:rsidRPr="00B078D5">
        <w:rPr>
          <w:color w:val="000000" w:themeColor="text1"/>
          <w:lang w:eastAsia="ru-RU"/>
        </w:rPr>
        <w:t>ости) выполнения исследования. Кроме того</w:t>
      </w:r>
      <w:r w:rsidR="00994681" w:rsidRPr="00B078D5">
        <w:rPr>
          <w:color w:val="000000" w:themeColor="text1"/>
          <w:lang w:eastAsia="ru-RU"/>
        </w:rPr>
        <w:t>,</w:t>
      </w:r>
      <w:r w:rsidR="007102AF" w:rsidRPr="00B078D5">
        <w:rPr>
          <w:color w:val="000000" w:themeColor="text1"/>
          <w:lang w:eastAsia="ru-RU"/>
        </w:rPr>
        <w:t xml:space="preserve"> важно уделить внимание обоснованию</w:t>
      </w:r>
      <w:r w:rsidRPr="00B078D5">
        <w:rPr>
          <w:color w:val="000000" w:themeColor="text1"/>
          <w:lang w:eastAsia="ru-RU"/>
        </w:rPr>
        <w:t xml:space="preserve"> выбора применяемых методов.</w:t>
      </w:r>
    </w:p>
    <w:p w:rsidR="00ED0371" w:rsidRDefault="00ED0371" w:rsidP="00ED0371">
      <w:pPr>
        <w:rPr>
          <w:lang w:eastAsia="ru-RU"/>
        </w:rPr>
      </w:pPr>
    </w:p>
    <w:p w:rsidR="00ED0371" w:rsidRDefault="00ED0371" w:rsidP="00ED0371">
      <w:pPr>
        <w:pStyle w:val="1"/>
        <w:numPr>
          <w:ilvl w:val="0"/>
          <w:numId w:val="19"/>
        </w:numPr>
      </w:pPr>
      <w:r>
        <w:t>Результаты</w:t>
      </w:r>
    </w:p>
    <w:p w:rsidR="00E2634D" w:rsidRPr="00B078D5" w:rsidRDefault="00994681" w:rsidP="00994681">
      <w:pPr>
        <w:rPr>
          <w:color w:val="000000" w:themeColor="text1"/>
          <w:lang w:eastAsia="ru-RU"/>
        </w:rPr>
      </w:pPr>
      <w:r w:rsidRPr="00B078D5">
        <w:rPr>
          <w:color w:val="000000" w:themeColor="text1"/>
          <w:lang w:eastAsia="ru-RU"/>
        </w:rPr>
        <w:t xml:space="preserve">Информация в данном разделе выстраивается в соответствии с предложенным ранее алгоритмом (этапами) из раздела </w:t>
      </w:r>
      <w:r w:rsidRPr="00B078D5">
        <w:rPr>
          <w:b/>
          <w:color w:val="000000" w:themeColor="text1"/>
          <w:lang w:eastAsia="ru-RU"/>
        </w:rPr>
        <w:t xml:space="preserve">Материалы и методы. </w:t>
      </w:r>
      <w:r w:rsidRPr="00B078D5">
        <w:rPr>
          <w:color w:val="000000" w:themeColor="text1"/>
          <w:lang w:eastAsia="ru-RU"/>
        </w:rPr>
        <w:t xml:space="preserve">Результаты рекомендуется представлять преимущественно в виде таблиц, графиков и других иллюстраций. </w:t>
      </w:r>
      <w:r w:rsidR="00ED0371" w:rsidRPr="00B078D5">
        <w:rPr>
          <w:color w:val="000000" w:themeColor="text1"/>
          <w:lang w:eastAsia="ru-RU"/>
        </w:rPr>
        <w:t xml:space="preserve">Этот раздел </w:t>
      </w:r>
      <w:r w:rsidRPr="00B078D5">
        <w:rPr>
          <w:color w:val="000000" w:themeColor="text1"/>
          <w:lang w:eastAsia="ru-RU"/>
        </w:rPr>
        <w:t xml:space="preserve">также </w:t>
      </w:r>
      <w:r w:rsidR="00ED0371" w:rsidRPr="00B078D5">
        <w:rPr>
          <w:color w:val="000000" w:themeColor="text1"/>
          <w:lang w:eastAsia="ru-RU"/>
        </w:rPr>
        <w:t>включает анализ полученны</w:t>
      </w:r>
      <w:r w:rsidRPr="00B078D5">
        <w:rPr>
          <w:color w:val="000000" w:themeColor="text1"/>
          <w:lang w:eastAsia="ru-RU"/>
        </w:rPr>
        <w:t>х результатов и их интерпретацию</w:t>
      </w:r>
      <w:r w:rsidR="00ED0371" w:rsidRPr="00B078D5">
        <w:rPr>
          <w:color w:val="000000" w:themeColor="text1"/>
          <w:lang w:eastAsia="ru-RU"/>
        </w:rPr>
        <w:t>.</w:t>
      </w:r>
      <w:r w:rsidR="007477B6" w:rsidRPr="00B078D5">
        <w:rPr>
          <w:color w:val="000000" w:themeColor="text1"/>
          <w:lang w:eastAsia="ru-RU"/>
        </w:rPr>
        <w:t xml:space="preserve"> </w:t>
      </w:r>
    </w:p>
    <w:p w:rsidR="00E2634D" w:rsidRDefault="00E2634D" w:rsidP="00657A17">
      <w:pPr>
        <w:rPr>
          <w:lang w:eastAsia="ru-RU"/>
        </w:rPr>
      </w:pPr>
    </w:p>
    <w:p w:rsidR="00ED0371" w:rsidRDefault="007477B6" w:rsidP="00ED0371">
      <w:pPr>
        <w:rPr>
          <w:rFonts w:eastAsia="Times New Roman" w:cs="Times New Roman"/>
          <w:b/>
          <w:bCs/>
          <w:szCs w:val="24"/>
          <w:lang w:eastAsia="ru-RU"/>
        </w:rPr>
      </w:pPr>
      <w:r>
        <w:rPr>
          <w:rFonts w:eastAsia="Times New Roman" w:cs="Times New Roman"/>
          <w:szCs w:val="24"/>
          <w:lang w:eastAsia="ru-RU"/>
        </w:rPr>
        <w:t>П</w:t>
      </w:r>
      <w:r w:rsidR="00ED0371" w:rsidRPr="00E75CD3">
        <w:rPr>
          <w:rFonts w:eastAsia="Times New Roman" w:cs="Times New Roman"/>
          <w:szCs w:val="24"/>
          <w:lang w:eastAsia="ru-RU"/>
        </w:rPr>
        <w:t xml:space="preserve">одписи </w:t>
      </w:r>
      <w:r>
        <w:rPr>
          <w:rFonts w:eastAsia="Times New Roman" w:cs="Times New Roman"/>
          <w:szCs w:val="24"/>
          <w:lang w:eastAsia="ru-RU"/>
        </w:rPr>
        <w:t xml:space="preserve">рисунков </w:t>
      </w:r>
      <w:r w:rsidR="00ED0371" w:rsidRPr="00E75CD3">
        <w:rPr>
          <w:rFonts w:eastAsia="Times New Roman" w:cs="Times New Roman"/>
          <w:szCs w:val="24"/>
          <w:lang w:eastAsia="ru-RU"/>
        </w:rPr>
        <w:t xml:space="preserve">и названия таблиц </w:t>
      </w:r>
      <w:r w:rsidR="00ED0371" w:rsidRPr="00E75CD3">
        <w:rPr>
          <w:rFonts w:eastAsia="Times New Roman" w:cs="Times New Roman"/>
          <w:b/>
          <w:bCs/>
          <w:szCs w:val="24"/>
          <w:lang w:eastAsia="ru-RU"/>
        </w:rPr>
        <w:t>д</w:t>
      </w:r>
      <w:r>
        <w:rPr>
          <w:rFonts w:eastAsia="Times New Roman" w:cs="Times New Roman"/>
          <w:b/>
          <w:bCs/>
          <w:szCs w:val="24"/>
          <w:lang w:eastAsia="ru-RU"/>
        </w:rPr>
        <w:t>олжны быть представлены на русском и</w:t>
      </w:r>
      <w:r w:rsidR="00ED0371" w:rsidRPr="00E75CD3">
        <w:rPr>
          <w:rFonts w:eastAsia="Times New Roman" w:cs="Times New Roman"/>
          <w:b/>
          <w:bCs/>
          <w:szCs w:val="24"/>
          <w:lang w:eastAsia="ru-RU"/>
        </w:rPr>
        <w:t xml:space="preserve"> на английском языке.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9"/>
        <w:gridCol w:w="5002"/>
      </w:tblGrid>
      <w:tr w:rsidR="00ED0371" w:rsidRPr="007E0E76" w:rsidTr="00ED4912">
        <w:tc>
          <w:tcPr>
            <w:tcW w:w="4919" w:type="dxa"/>
          </w:tcPr>
          <w:p w:rsidR="00ED0371" w:rsidRPr="007E0E76" w:rsidRDefault="00ED0371" w:rsidP="00ED4912">
            <w:pPr>
              <w:tabs>
                <w:tab w:val="left" w:pos="450"/>
              </w:tabs>
              <w:rPr>
                <w:rFonts w:ascii="Cambria" w:hAnsi="Cambria"/>
                <w:bCs/>
                <w:kern w:val="28"/>
                <w:szCs w:val="20"/>
                <w:lang w:val="en-US"/>
              </w:rPr>
            </w:pPr>
            <w:r w:rsidRPr="007E0E76">
              <w:rPr>
                <w:noProof/>
                <w:szCs w:val="20"/>
                <w:lang w:eastAsia="ru-RU"/>
              </w:rPr>
              <w:drawing>
                <wp:inline distT="0" distB="0" distL="0" distR="0" wp14:anchorId="556FFEDD" wp14:editId="44914FF5">
                  <wp:extent cx="2914650" cy="1447800"/>
                  <wp:effectExtent l="0" t="0" r="0" b="0"/>
                  <wp:docPr id="1" name="Picture 26" descr="Description: C:\Users\hilmanm\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hilmanm\Pictures\Pictur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4650" cy="1447800"/>
                          </a:xfrm>
                          <a:prstGeom prst="rect">
                            <a:avLst/>
                          </a:prstGeom>
                          <a:noFill/>
                          <a:ln>
                            <a:noFill/>
                          </a:ln>
                        </pic:spPr>
                      </pic:pic>
                    </a:graphicData>
                  </a:graphic>
                </wp:inline>
              </w:drawing>
            </w:r>
          </w:p>
        </w:tc>
        <w:tc>
          <w:tcPr>
            <w:tcW w:w="5002" w:type="dxa"/>
          </w:tcPr>
          <w:p w:rsidR="00ED0371" w:rsidRPr="007E0E76" w:rsidRDefault="00ED0371" w:rsidP="00ED4912">
            <w:pPr>
              <w:tabs>
                <w:tab w:val="left" w:pos="450"/>
              </w:tabs>
              <w:rPr>
                <w:rFonts w:ascii="Cambria" w:hAnsi="Cambria"/>
                <w:bCs/>
                <w:kern w:val="28"/>
                <w:szCs w:val="20"/>
                <w:lang w:val="en-US"/>
              </w:rPr>
            </w:pPr>
            <w:r w:rsidRPr="007E0E76">
              <w:rPr>
                <w:noProof/>
                <w:szCs w:val="20"/>
                <w:lang w:eastAsia="ru-RU"/>
              </w:rPr>
              <w:drawing>
                <wp:inline distT="0" distB="0" distL="0" distR="0" wp14:anchorId="15B54485" wp14:editId="661265FA">
                  <wp:extent cx="2962275" cy="1438275"/>
                  <wp:effectExtent l="0" t="0" r="9525" b="9525"/>
                  <wp:docPr id="2" name="Picture 33" descr="Description: C:\Users\hilmanm\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hilmanm\Pictures\Pictur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2275" cy="1438275"/>
                          </a:xfrm>
                          <a:prstGeom prst="rect">
                            <a:avLst/>
                          </a:prstGeom>
                          <a:noFill/>
                          <a:ln>
                            <a:noFill/>
                          </a:ln>
                        </pic:spPr>
                      </pic:pic>
                    </a:graphicData>
                  </a:graphic>
                </wp:inline>
              </w:drawing>
            </w:r>
          </w:p>
        </w:tc>
      </w:tr>
      <w:tr w:rsidR="00ED0371" w:rsidRPr="00A941ED" w:rsidTr="00ED4912">
        <w:tc>
          <w:tcPr>
            <w:tcW w:w="4919" w:type="dxa"/>
          </w:tcPr>
          <w:p w:rsidR="00ED0371" w:rsidRPr="00A941ED" w:rsidRDefault="00ED0371" w:rsidP="00ED4912">
            <w:pPr>
              <w:tabs>
                <w:tab w:val="left" w:pos="450"/>
              </w:tabs>
              <w:jc w:val="center"/>
              <w:rPr>
                <w:rFonts w:cs="Times New Roman"/>
                <w:bCs/>
                <w:kern w:val="28"/>
                <w:szCs w:val="24"/>
                <w:lang w:val="en-US"/>
              </w:rPr>
            </w:pPr>
            <w:r w:rsidRPr="00A941ED">
              <w:rPr>
                <w:rFonts w:cs="Times New Roman"/>
                <w:szCs w:val="24"/>
                <w:lang w:val="en-AU" w:eastAsia="en-AU"/>
              </w:rPr>
              <w:t>(a)</w:t>
            </w:r>
          </w:p>
        </w:tc>
        <w:tc>
          <w:tcPr>
            <w:tcW w:w="5002" w:type="dxa"/>
          </w:tcPr>
          <w:p w:rsidR="00ED0371" w:rsidRPr="00A941ED" w:rsidRDefault="00ED0371" w:rsidP="00ED4912">
            <w:pPr>
              <w:tabs>
                <w:tab w:val="left" w:pos="450"/>
              </w:tabs>
              <w:jc w:val="center"/>
              <w:rPr>
                <w:rFonts w:cs="Times New Roman"/>
                <w:bCs/>
                <w:kern w:val="28"/>
                <w:szCs w:val="24"/>
                <w:lang w:val="en-US"/>
              </w:rPr>
            </w:pPr>
            <w:r>
              <w:rPr>
                <w:rFonts w:cs="Times New Roman"/>
                <w:szCs w:val="24"/>
                <w:lang w:val="en-AU" w:eastAsia="en-AU"/>
              </w:rPr>
              <w:t>(б</w:t>
            </w:r>
            <w:r w:rsidRPr="00A941ED">
              <w:rPr>
                <w:rFonts w:cs="Times New Roman"/>
                <w:szCs w:val="24"/>
                <w:lang w:val="en-AU" w:eastAsia="en-AU"/>
              </w:rPr>
              <w:t>)</w:t>
            </w:r>
          </w:p>
        </w:tc>
      </w:tr>
    </w:tbl>
    <w:p w:rsidR="00ED0371" w:rsidRPr="00A941ED" w:rsidRDefault="00ED0371" w:rsidP="00ED0371">
      <w:pPr>
        <w:tabs>
          <w:tab w:val="left" w:pos="450"/>
        </w:tabs>
        <w:snapToGrid w:val="0"/>
        <w:spacing w:before="120"/>
        <w:rPr>
          <w:rFonts w:cs="Times New Roman"/>
          <w:b/>
          <w:bCs/>
          <w:kern w:val="28"/>
          <w:szCs w:val="24"/>
        </w:rPr>
      </w:pPr>
      <w:r w:rsidRPr="00A941ED">
        <w:rPr>
          <w:b/>
        </w:rPr>
        <w:t>Рисунок 2</w:t>
      </w:r>
      <w:r>
        <w:t xml:space="preserve"> Результат способности запоминания: (а) Целое число; и (б) с плавающей запятой</w:t>
      </w:r>
    </w:p>
    <w:p w:rsidR="00ED0371" w:rsidRPr="00A941ED" w:rsidRDefault="00ED0371" w:rsidP="00ED0371">
      <w:pPr>
        <w:tabs>
          <w:tab w:val="left" w:pos="450"/>
        </w:tabs>
        <w:snapToGrid w:val="0"/>
        <w:rPr>
          <w:rFonts w:cs="Times New Roman"/>
          <w:bCs/>
          <w:kern w:val="28"/>
          <w:szCs w:val="24"/>
          <w:lang w:val="en-US"/>
        </w:rPr>
      </w:pPr>
      <w:r w:rsidRPr="00A941ED">
        <w:rPr>
          <w:rFonts w:cs="Times New Roman"/>
          <w:b/>
          <w:bCs/>
          <w:kern w:val="28"/>
          <w:szCs w:val="24"/>
          <w:lang w:val="en-US"/>
        </w:rPr>
        <w:t>Figure 2</w:t>
      </w:r>
      <w:r w:rsidRPr="00A941ED">
        <w:rPr>
          <w:rFonts w:cs="Times New Roman"/>
          <w:bCs/>
          <w:kern w:val="28"/>
          <w:szCs w:val="24"/>
          <w:lang w:val="en-US"/>
        </w:rPr>
        <w:t xml:space="preserve"> Memory performance result: (a) Integer; and (b) Floating point</w:t>
      </w:r>
    </w:p>
    <w:p w:rsidR="00ED0371" w:rsidRDefault="00ED0371" w:rsidP="00ED0371">
      <w:pPr>
        <w:tabs>
          <w:tab w:val="left" w:pos="450"/>
        </w:tabs>
        <w:rPr>
          <w:rFonts w:ascii="Cambria" w:hAnsi="Cambria"/>
          <w:b/>
          <w:sz w:val="20"/>
          <w:szCs w:val="20"/>
          <w:lang w:val="en-US"/>
        </w:rPr>
      </w:pPr>
    </w:p>
    <w:p w:rsidR="00ED0371" w:rsidRPr="001B3BC8" w:rsidRDefault="00ED0371" w:rsidP="003369BE">
      <w:pPr>
        <w:tabs>
          <w:tab w:val="left" w:pos="9100"/>
        </w:tabs>
        <w:rPr>
          <w:b/>
          <w:szCs w:val="24"/>
        </w:rPr>
      </w:pPr>
      <w:r w:rsidRPr="001B3BC8">
        <w:rPr>
          <w:b/>
          <w:szCs w:val="24"/>
        </w:rPr>
        <w:t xml:space="preserve">Таблица 1 </w:t>
      </w:r>
      <w:r w:rsidRPr="001B3BC8">
        <w:rPr>
          <w:szCs w:val="24"/>
        </w:rPr>
        <w:t>Количество рецеп</w:t>
      </w:r>
      <w:r>
        <w:rPr>
          <w:szCs w:val="24"/>
        </w:rPr>
        <w:t>иентов</w:t>
      </w:r>
      <w:r w:rsidRPr="001B3BC8">
        <w:rPr>
          <w:szCs w:val="24"/>
        </w:rPr>
        <w:t xml:space="preserve"> в каждом контейнере</w:t>
      </w:r>
      <w:r w:rsidR="003369BE">
        <w:rPr>
          <w:szCs w:val="24"/>
        </w:rPr>
        <w:tab/>
      </w:r>
    </w:p>
    <w:p w:rsidR="00ED0371" w:rsidRPr="001B3BC8" w:rsidRDefault="00ED0371" w:rsidP="00ED0371">
      <w:pPr>
        <w:rPr>
          <w:szCs w:val="24"/>
          <w:lang w:val="en-US"/>
        </w:rPr>
      </w:pPr>
      <w:r w:rsidRPr="001B3BC8">
        <w:rPr>
          <w:b/>
          <w:szCs w:val="24"/>
          <w:lang w:val="en-US"/>
        </w:rPr>
        <w:t>Table 1</w:t>
      </w:r>
      <w:r w:rsidRPr="001B3BC8">
        <w:rPr>
          <w:szCs w:val="24"/>
          <w:lang w:val="en-US"/>
        </w:rPr>
        <w:t xml:space="preserve"> Number of receptors in each container</w:t>
      </w:r>
    </w:p>
    <w:tbl>
      <w:tblPr>
        <w:tblStyle w:val="ac"/>
        <w:tblW w:w="0" w:type="auto"/>
        <w:jc w:val="center"/>
        <w:tblLook w:val="04A0" w:firstRow="1" w:lastRow="0" w:firstColumn="1" w:lastColumn="0" w:noHBand="0" w:noVBand="1"/>
      </w:tblPr>
      <w:tblGrid>
        <w:gridCol w:w="1566"/>
        <w:gridCol w:w="1502"/>
        <w:gridCol w:w="1423"/>
      </w:tblGrid>
      <w:tr w:rsidR="00ED0371" w:rsidRPr="001B3BC8" w:rsidTr="00ED4912">
        <w:trPr>
          <w:trHeight w:val="277"/>
          <w:jc w:val="center"/>
        </w:trPr>
        <w:tc>
          <w:tcPr>
            <w:tcW w:w="1566" w:type="dxa"/>
          </w:tcPr>
          <w:p w:rsidR="00ED0371" w:rsidRPr="001B3BC8" w:rsidRDefault="00ED0371" w:rsidP="00ED4912">
            <w:pPr>
              <w:pStyle w:val="aa"/>
              <w:spacing w:before="60" w:after="60"/>
              <w:jc w:val="center"/>
              <w:rPr>
                <w:i/>
                <w:sz w:val="24"/>
              </w:rPr>
            </w:pPr>
            <w:r w:rsidRPr="001B3BC8">
              <w:rPr>
                <w:sz w:val="24"/>
              </w:rPr>
              <w:t xml:space="preserve">Experiment </w:t>
            </w:r>
          </w:p>
        </w:tc>
        <w:tc>
          <w:tcPr>
            <w:tcW w:w="1502" w:type="dxa"/>
          </w:tcPr>
          <w:p w:rsidR="00ED0371" w:rsidRPr="001B3BC8" w:rsidRDefault="00ED0371" w:rsidP="00ED4912">
            <w:pPr>
              <w:pStyle w:val="aa"/>
              <w:spacing w:before="60" w:after="60"/>
              <w:jc w:val="center"/>
              <w:rPr>
                <w:i/>
                <w:sz w:val="24"/>
              </w:rPr>
            </w:pPr>
            <w:r w:rsidRPr="001B3BC8">
              <w:rPr>
                <w:sz w:val="24"/>
              </w:rPr>
              <w:t xml:space="preserve">Container </w:t>
            </w:r>
          </w:p>
        </w:tc>
        <w:tc>
          <w:tcPr>
            <w:tcW w:w="1423" w:type="dxa"/>
          </w:tcPr>
          <w:p w:rsidR="00ED0371" w:rsidRPr="001B3BC8" w:rsidRDefault="00ED0371" w:rsidP="00ED4912">
            <w:pPr>
              <w:pStyle w:val="aa"/>
              <w:spacing w:before="60" w:after="60"/>
              <w:jc w:val="center"/>
              <w:rPr>
                <w:i/>
                <w:sz w:val="24"/>
              </w:rPr>
            </w:pPr>
            <w:r w:rsidRPr="001B3BC8">
              <w:rPr>
                <w:sz w:val="24"/>
              </w:rPr>
              <w:t xml:space="preserve">Receptor </w:t>
            </w:r>
          </w:p>
        </w:tc>
      </w:tr>
      <w:tr w:rsidR="00ED0371" w:rsidRPr="001B3BC8" w:rsidTr="00ED4912">
        <w:trPr>
          <w:trHeight w:val="112"/>
          <w:jc w:val="center"/>
        </w:trPr>
        <w:tc>
          <w:tcPr>
            <w:tcW w:w="1566" w:type="dxa"/>
          </w:tcPr>
          <w:p w:rsidR="00ED0371" w:rsidRPr="001B3BC8" w:rsidRDefault="00ED0371" w:rsidP="00ED4912">
            <w:pPr>
              <w:pStyle w:val="aa"/>
              <w:jc w:val="center"/>
              <w:rPr>
                <w:i/>
                <w:sz w:val="24"/>
              </w:rPr>
            </w:pPr>
            <w:r w:rsidRPr="001B3BC8">
              <w:rPr>
                <w:sz w:val="24"/>
              </w:rPr>
              <w:t>1</w:t>
            </w:r>
          </w:p>
        </w:tc>
        <w:tc>
          <w:tcPr>
            <w:tcW w:w="1502" w:type="dxa"/>
          </w:tcPr>
          <w:p w:rsidR="00ED0371" w:rsidRPr="001B3BC8" w:rsidRDefault="00ED0371" w:rsidP="00ED4912">
            <w:pPr>
              <w:pStyle w:val="aa"/>
              <w:jc w:val="center"/>
              <w:rPr>
                <w:i/>
                <w:sz w:val="24"/>
              </w:rPr>
            </w:pPr>
            <w:r w:rsidRPr="001B3BC8">
              <w:rPr>
                <w:sz w:val="24"/>
              </w:rPr>
              <w:t>50</w:t>
            </w:r>
          </w:p>
        </w:tc>
        <w:tc>
          <w:tcPr>
            <w:tcW w:w="1423" w:type="dxa"/>
          </w:tcPr>
          <w:p w:rsidR="00ED0371" w:rsidRPr="001B3BC8" w:rsidRDefault="00ED0371" w:rsidP="00ED4912">
            <w:pPr>
              <w:pStyle w:val="aa"/>
              <w:jc w:val="center"/>
              <w:rPr>
                <w:i/>
                <w:sz w:val="24"/>
              </w:rPr>
            </w:pPr>
            <w:r w:rsidRPr="001B3BC8">
              <w:rPr>
                <w:sz w:val="24"/>
              </w:rPr>
              <w:t>28</w:t>
            </w:r>
          </w:p>
        </w:tc>
      </w:tr>
      <w:tr w:rsidR="00ED0371" w:rsidRPr="001B3BC8" w:rsidTr="00ED4912">
        <w:trPr>
          <w:trHeight w:val="112"/>
          <w:jc w:val="center"/>
        </w:trPr>
        <w:tc>
          <w:tcPr>
            <w:tcW w:w="1566" w:type="dxa"/>
          </w:tcPr>
          <w:p w:rsidR="00ED0371" w:rsidRPr="001B3BC8" w:rsidRDefault="00ED0371" w:rsidP="00ED4912">
            <w:pPr>
              <w:pStyle w:val="aa"/>
              <w:jc w:val="center"/>
              <w:rPr>
                <w:i/>
                <w:sz w:val="24"/>
              </w:rPr>
            </w:pPr>
            <w:r w:rsidRPr="001B3BC8">
              <w:rPr>
                <w:sz w:val="24"/>
              </w:rPr>
              <w:lastRenderedPageBreak/>
              <w:t>2</w:t>
            </w:r>
          </w:p>
        </w:tc>
        <w:tc>
          <w:tcPr>
            <w:tcW w:w="1502" w:type="dxa"/>
          </w:tcPr>
          <w:p w:rsidR="00ED0371" w:rsidRPr="001B3BC8" w:rsidRDefault="00ED0371" w:rsidP="00ED4912">
            <w:pPr>
              <w:pStyle w:val="aa"/>
              <w:jc w:val="center"/>
              <w:rPr>
                <w:i/>
                <w:sz w:val="24"/>
              </w:rPr>
            </w:pPr>
            <w:r w:rsidRPr="001B3BC8">
              <w:rPr>
                <w:sz w:val="24"/>
              </w:rPr>
              <w:t>100</w:t>
            </w:r>
          </w:p>
        </w:tc>
        <w:tc>
          <w:tcPr>
            <w:tcW w:w="1423" w:type="dxa"/>
          </w:tcPr>
          <w:p w:rsidR="00ED0371" w:rsidRPr="001B3BC8" w:rsidRDefault="00ED0371" w:rsidP="00ED4912">
            <w:pPr>
              <w:pStyle w:val="aa"/>
              <w:jc w:val="center"/>
              <w:rPr>
                <w:i/>
                <w:sz w:val="24"/>
              </w:rPr>
            </w:pPr>
            <w:r w:rsidRPr="001B3BC8">
              <w:rPr>
                <w:sz w:val="24"/>
              </w:rPr>
              <w:t>14</w:t>
            </w:r>
          </w:p>
        </w:tc>
      </w:tr>
      <w:tr w:rsidR="00ED0371" w:rsidRPr="001B3BC8" w:rsidTr="00ED4912">
        <w:trPr>
          <w:trHeight w:val="112"/>
          <w:jc w:val="center"/>
        </w:trPr>
        <w:tc>
          <w:tcPr>
            <w:tcW w:w="1566" w:type="dxa"/>
          </w:tcPr>
          <w:p w:rsidR="00ED0371" w:rsidRPr="001B3BC8" w:rsidRDefault="00ED0371" w:rsidP="00ED4912">
            <w:pPr>
              <w:pStyle w:val="aa"/>
              <w:jc w:val="center"/>
              <w:rPr>
                <w:i/>
                <w:sz w:val="24"/>
              </w:rPr>
            </w:pPr>
            <w:r w:rsidRPr="001B3BC8">
              <w:rPr>
                <w:sz w:val="24"/>
              </w:rPr>
              <w:t>3</w:t>
            </w:r>
          </w:p>
        </w:tc>
        <w:tc>
          <w:tcPr>
            <w:tcW w:w="1502" w:type="dxa"/>
          </w:tcPr>
          <w:p w:rsidR="00ED0371" w:rsidRPr="001B3BC8" w:rsidRDefault="00ED0371" w:rsidP="00ED4912">
            <w:pPr>
              <w:pStyle w:val="aa"/>
              <w:jc w:val="center"/>
              <w:rPr>
                <w:i/>
                <w:sz w:val="24"/>
              </w:rPr>
            </w:pPr>
            <w:r w:rsidRPr="001B3BC8">
              <w:rPr>
                <w:sz w:val="24"/>
              </w:rPr>
              <w:t>150</w:t>
            </w:r>
          </w:p>
        </w:tc>
        <w:tc>
          <w:tcPr>
            <w:tcW w:w="1423" w:type="dxa"/>
          </w:tcPr>
          <w:p w:rsidR="00ED0371" w:rsidRPr="001B3BC8" w:rsidRDefault="00ED0371" w:rsidP="00ED4912">
            <w:pPr>
              <w:pStyle w:val="aa"/>
              <w:jc w:val="center"/>
              <w:rPr>
                <w:i/>
                <w:sz w:val="24"/>
              </w:rPr>
            </w:pPr>
            <w:r w:rsidRPr="001B3BC8">
              <w:rPr>
                <w:sz w:val="24"/>
              </w:rPr>
              <w:t>9</w:t>
            </w:r>
          </w:p>
        </w:tc>
      </w:tr>
      <w:tr w:rsidR="00ED0371" w:rsidRPr="001B3BC8" w:rsidTr="00ED4912">
        <w:trPr>
          <w:trHeight w:val="123"/>
          <w:jc w:val="center"/>
        </w:trPr>
        <w:tc>
          <w:tcPr>
            <w:tcW w:w="1566" w:type="dxa"/>
          </w:tcPr>
          <w:p w:rsidR="00ED0371" w:rsidRPr="001B3BC8" w:rsidRDefault="00ED0371" w:rsidP="00ED4912">
            <w:pPr>
              <w:pStyle w:val="aa"/>
              <w:jc w:val="center"/>
              <w:rPr>
                <w:i/>
                <w:sz w:val="24"/>
              </w:rPr>
            </w:pPr>
            <w:r w:rsidRPr="001B3BC8">
              <w:rPr>
                <w:sz w:val="24"/>
              </w:rPr>
              <w:t>4</w:t>
            </w:r>
          </w:p>
        </w:tc>
        <w:tc>
          <w:tcPr>
            <w:tcW w:w="1502" w:type="dxa"/>
          </w:tcPr>
          <w:p w:rsidR="00ED0371" w:rsidRPr="001B3BC8" w:rsidRDefault="00ED0371" w:rsidP="00ED4912">
            <w:pPr>
              <w:pStyle w:val="aa"/>
              <w:jc w:val="center"/>
              <w:rPr>
                <w:i/>
                <w:sz w:val="24"/>
              </w:rPr>
            </w:pPr>
            <w:r w:rsidRPr="001B3BC8">
              <w:rPr>
                <w:sz w:val="24"/>
              </w:rPr>
              <w:t>200</w:t>
            </w:r>
          </w:p>
        </w:tc>
        <w:tc>
          <w:tcPr>
            <w:tcW w:w="1423" w:type="dxa"/>
          </w:tcPr>
          <w:p w:rsidR="00ED0371" w:rsidRPr="001B3BC8" w:rsidRDefault="00ED0371" w:rsidP="00ED4912">
            <w:pPr>
              <w:pStyle w:val="aa"/>
              <w:jc w:val="center"/>
              <w:rPr>
                <w:i/>
                <w:sz w:val="24"/>
              </w:rPr>
            </w:pPr>
            <w:r w:rsidRPr="001B3BC8">
              <w:rPr>
                <w:sz w:val="24"/>
              </w:rPr>
              <w:t>7</w:t>
            </w:r>
          </w:p>
        </w:tc>
      </w:tr>
      <w:tr w:rsidR="00ED0371" w:rsidRPr="001B3BC8" w:rsidTr="00ED4912">
        <w:trPr>
          <w:trHeight w:val="112"/>
          <w:jc w:val="center"/>
        </w:trPr>
        <w:tc>
          <w:tcPr>
            <w:tcW w:w="1566" w:type="dxa"/>
          </w:tcPr>
          <w:p w:rsidR="00ED0371" w:rsidRPr="001B3BC8" w:rsidRDefault="00ED0371" w:rsidP="00ED4912">
            <w:pPr>
              <w:pStyle w:val="aa"/>
              <w:jc w:val="center"/>
              <w:rPr>
                <w:i/>
                <w:sz w:val="24"/>
              </w:rPr>
            </w:pPr>
            <w:r w:rsidRPr="001B3BC8">
              <w:rPr>
                <w:sz w:val="24"/>
              </w:rPr>
              <w:t>5</w:t>
            </w:r>
          </w:p>
        </w:tc>
        <w:tc>
          <w:tcPr>
            <w:tcW w:w="1502" w:type="dxa"/>
          </w:tcPr>
          <w:p w:rsidR="00ED0371" w:rsidRPr="001B3BC8" w:rsidRDefault="00ED0371" w:rsidP="00ED4912">
            <w:pPr>
              <w:pStyle w:val="aa"/>
              <w:jc w:val="center"/>
              <w:rPr>
                <w:i/>
                <w:sz w:val="24"/>
              </w:rPr>
            </w:pPr>
            <w:r w:rsidRPr="001B3BC8">
              <w:rPr>
                <w:sz w:val="24"/>
              </w:rPr>
              <w:t>250</w:t>
            </w:r>
          </w:p>
        </w:tc>
        <w:tc>
          <w:tcPr>
            <w:tcW w:w="1423" w:type="dxa"/>
          </w:tcPr>
          <w:p w:rsidR="00ED0371" w:rsidRPr="001B3BC8" w:rsidRDefault="00ED0371" w:rsidP="00ED4912">
            <w:pPr>
              <w:pStyle w:val="aa"/>
              <w:jc w:val="center"/>
              <w:rPr>
                <w:i/>
                <w:sz w:val="24"/>
              </w:rPr>
            </w:pPr>
            <w:r w:rsidRPr="001B3BC8">
              <w:rPr>
                <w:sz w:val="24"/>
              </w:rPr>
              <w:t>5</w:t>
            </w:r>
          </w:p>
        </w:tc>
      </w:tr>
    </w:tbl>
    <w:p w:rsidR="00ED0371" w:rsidRPr="00E75CD3" w:rsidRDefault="00ED0371" w:rsidP="00ED0371">
      <w:pPr>
        <w:rPr>
          <w:rFonts w:eastAsia="Times New Roman" w:cs="Times New Roman"/>
          <w:szCs w:val="24"/>
          <w:lang w:eastAsia="ru-RU"/>
        </w:rPr>
      </w:pPr>
    </w:p>
    <w:p w:rsidR="00ED0371" w:rsidRPr="00E75CD3" w:rsidRDefault="00ED0371" w:rsidP="00ED0371">
      <w:pPr>
        <w:rPr>
          <w:rFonts w:eastAsia="Times New Roman" w:cs="Times New Roman"/>
          <w:szCs w:val="24"/>
          <w:lang w:eastAsia="ru-RU"/>
        </w:rPr>
      </w:pPr>
      <w:r w:rsidRPr="00E75CD3">
        <w:rPr>
          <w:rFonts w:eastAsia="Times New Roman" w:cs="Times New Roman"/>
          <w:szCs w:val="24"/>
          <w:lang w:eastAsia="ru-RU"/>
        </w:rPr>
        <w:t xml:space="preserve">Формулы </w:t>
      </w:r>
      <w:r>
        <w:rPr>
          <w:rFonts w:eastAsia="Times New Roman" w:cs="Times New Roman"/>
          <w:szCs w:val="24"/>
          <w:lang w:eastAsia="ru-RU"/>
        </w:rPr>
        <w:t xml:space="preserve">набираются с </w:t>
      </w:r>
      <w:r w:rsidRPr="006F7249">
        <w:rPr>
          <w:rFonts w:eastAsia="Times New Roman" w:cs="Times New Roman"/>
          <w:color w:val="000000" w:themeColor="text1"/>
          <w:szCs w:val="24"/>
          <w:lang w:eastAsia="ru-RU"/>
        </w:rPr>
        <w:t xml:space="preserve">помощью </w:t>
      </w:r>
      <w:r w:rsidR="006F7249" w:rsidRPr="006F7249">
        <w:rPr>
          <w:rFonts w:eastAsia="Times New Roman" w:cs="Times New Roman"/>
          <w:color w:val="000000" w:themeColor="text1"/>
          <w:szCs w:val="24"/>
          <w:lang w:eastAsia="ru-RU"/>
        </w:rPr>
        <w:t xml:space="preserve">встроенного </w:t>
      </w:r>
      <w:r w:rsidRPr="006F7249">
        <w:rPr>
          <w:rFonts w:eastAsia="Times New Roman" w:cs="Times New Roman"/>
          <w:color w:val="000000" w:themeColor="text1"/>
          <w:szCs w:val="24"/>
          <w:lang w:eastAsia="ru-RU"/>
        </w:rPr>
        <w:t xml:space="preserve">редактора </w:t>
      </w:r>
      <w:r w:rsidR="006F7249" w:rsidRPr="006F7249">
        <w:rPr>
          <w:rFonts w:eastAsia="Times New Roman" w:cs="Times New Roman"/>
          <w:color w:val="000000" w:themeColor="text1"/>
          <w:szCs w:val="24"/>
          <w:lang w:eastAsia="ru-RU"/>
        </w:rPr>
        <w:t>формул</w:t>
      </w:r>
      <w:r w:rsidR="00657A17" w:rsidRPr="006F7249">
        <w:rPr>
          <w:rFonts w:eastAsia="Times New Roman" w:cs="Times New Roman"/>
          <w:color w:val="000000" w:themeColor="text1"/>
          <w:szCs w:val="24"/>
          <w:lang w:eastAsia="ru-RU"/>
        </w:rPr>
        <w:t>.</w:t>
      </w:r>
      <w:r w:rsidRPr="006F7249">
        <w:rPr>
          <w:rFonts w:eastAsia="Times New Roman" w:cs="Times New Roman"/>
          <w:color w:val="000000" w:themeColor="text1"/>
          <w:szCs w:val="24"/>
          <w:lang w:eastAsia="ru-RU"/>
        </w:rPr>
        <w:t xml:space="preserve"> </w:t>
      </w:r>
      <w:r w:rsidRPr="00E75CD3">
        <w:rPr>
          <w:rFonts w:eastAsia="Times New Roman" w:cs="Times New Roman"/>
          <w:szCs w:val="24"/>
          <w:lang w:eastAsia="ru-RU"/>
        </w:rPr>
        <w:t>Параметры формул:</w:t>
      </w:r>
    </w:p>
    <w:p w:rsidR="00ED0371" w:rsidRPr="00E75CD3" w:rsidRDefault="00ED0371" w:rsidP="00ED0371">
      <w:pPr>
        <w:numPr>
          <w:ilvl w:val="0"/>
          <w:numId w:val="3"/>
        </w:numPr>
        <w:rPr>
          <w:rFonts w:eastAsia="Times New Roman" w:cs="Times New Roman"/>
          <w:szCs w:val="24"/>
          <w:lang w:eastAsia="ru-RU"/>
        </w:rPr>
      </w:pPr>
      <w:r w:rsidRPr="00E75CD3">
        <w:rPr>
          <w:rFonts w:eastAsia="Times New Roman" w:cs="Times New Roman"/>
          <w:szCs w:val="24"/>
          <w:lang w:eastAsia="ru-RU"/>
        </w:rPr>
        <w:t>шрифт — Times New Roman;</w:t>
      </w:r>
    </w:p>
    <w:p w:rsidR="00ED0371" w:rsidRPr="00E75CD3" w:rsidRDefault="00ED0371" w:rsidP="00ED0371">
      <w:pPr>
        <w:numPr>
          <w:ilvl w:val="0"/>
          <w:numId w:val="3"/>
        </w:numPr>
        <w:rPr>
          <w:rFonts w:eastAsia="Times New Roman" w:cs="Times New Roman"/>
          <w:szCs w:val="24"/>
          <w:lang w:eastAsia="ru-RU"/>
        </w:rPr>
      </w:pPr>
      <w:r w:rsidRPr="00E75CD3">
        <w:rPr>
          <w:rFonts w:eastAsia="Times New Roman" w:cs="Times New Roman"/>
          <w:szCs w:val="24"/>
          <w:lang w:eastAsia="ru-RU"/>
        </w:rPr>
        <w:t>размеры: обычный — 12 пт, индекс — 9 пт, малый индекс — 7 пт,</w:t>
      </w:r>
      <w:r w:rsidRPr="00E75CD3">
        <w:rPr>
          <w:rFonts w:eastAsia="Times New Roman" w:cs="Times New Roman"/>
          <w:szCs w:val="24"/>
          <w:lang w:eastAsia="ru-RU"/>
        </w:rPr>
        <w:br/>
        <w:t>крупный символ — 14 пт, малый символ — 10 пт (для изменения параметров необходимо нажать вкладку «Размер» ==&gt; «Определить» и задать необходимые параметры);</w:t>
      </w:r>
    </w:p>
    <w:p w:rsidR="00ED0371" w:rsidRDefault="00ED0371" w:rsidP="00ED0371">
      <w:pPr>
        <w:numPr>
          <w:ilvl w:val="0"/>
          <w:numId w:val="3"/>
        </w:numPr>
        <w:rPr>
          <w:rFonts w:eastAsia="Times New Roman" w:cs="Times New Roman"/>
          <w:szCs w:val="24"/>
          <w:lang w:eastAsia="ru-RU"/>
        </w:rPr>
      </w:pPr>
      <w:r w:rsidRPr="00E75CD3">
        <w:rPr>
          <w:rFonts w:eastAsia="Times New Roman" w:cs="Times New Roman"/>
          <w:szCs w:val="24"/>
          <w:lang w:eastAsia="ru-RU"/>
        </w:rPr>
        <w:t>начертание: переменная и строчные греческие — курсив, остальные — прямые.</w:t>
      </w:r>
    </w:p>
    <w:p w:rsidR="00ED0371" w:rsidRPr="000525FB" w:rsidRDefault="00ED0371" w:rsidP="000525FB">
      <w:pPr>
        <w:pStyle w:val="a8"/>
        <w:tabs>
          <w:tab w:val="center" w:pos="4320"/>
          <w:tab w:val="right" w:pos="9244"/>
        </w:tabs>
        <w:ind w:firstLine="0"/>
        <w:jc w:val="center"/>
        <w:rPr>
          <w:rFonts w:ascii="Cambria" w:hAnsi="Cambria"/>
          <w:sz w:val="20"/>
          <w:szCs w:val="20"/>
        </w:rPr>
      </w:pPr>
      <w:r>
        <w:rPr>
          <w:rFonts w:cs="Times New Roman"/>
          <w:sz w:val="20"/>
          <w:szCs w:val="20"/>
        </w:rPr>
        <w:tab/>
      </w:r>
      <m:oMath>
        <m:r>
          <w:rPr>
            <w:rFonts w:ascii="Cambria Math" w:hAnsi="Cambria Math" w:cs="Cambria Math"/>
            <w:sz w:val="20"/>
            <w:szCs w:val="20"/>
          </w:rPr>
          <m:t>x</m:t>
        </m:r>
        <m:r>
          <m:rPr>
            <m:sty m:val="p"/>
          </m:rPr>
          <w:rPr>
            <w:rFonts w:ascii="Cambria Math" w:hAnsi="Cambria Math" w:cs="Cambria Math"/>
            <w:sz w:val="20"/>
            <w:szCs w:val="20"/>
          </w:rPr>
          <m:t>=</m:t>
        </m:r>
        <m:f>
          <m:fPr>
            <m:ctrlPr>
              <w:rPr>
                <w:rFonts w:ascii="Cambria Math" w:hAnsi="Cambria Math" w:cs="Times New Roman"/>
                <w:sz w:val="20"/>
                <w:szCs w:val="20"/>
              </w:rPr>
            </m:ctrlPr>
          </m:fPr>
          <m:num>
            <m:r>
              <m:rPr>
                <m:sty m:val="p"/>
              </m:rPr>
              <w:rPr>
                <w:rFonts w:ascii="Cambria Math" w:hAnsi="Cambria Math" w:cs="Cambria Math"/>
                <w:sz w:val="20"/>
                <w:szCs w:val="20"/>
              </w:rPr>
              <m:t>-</m:t>
            </m:r>
            <m:r>
              <w:rPr>
                <w:rFonts w:ascii="Cambria Math" w:hAnsi="Cambria Math" w:cs="Cambria Math"/>
                <w:sz w:val="20"/>
                <w:szCs w:val="20"/>
              </w:rPr>
              <m:t>b</m:t>
            </m:r>
            <m:r>
              <m:rPr>
                <m:sty m:val="p"/>
              </m:rPr>
              <w:rPr>
                <w:rFonts w:ascii="Cambria Math" w:hAnsi="Cambria Math" w:cs="Cambria Math"/>
                <w:sz w:val="20"/>
                <w:szCs w:val="20"/>
              </w:rPr>
              <m:t>±</m:t>
            </m:r>
            <m:rad>
              <m:radPr>
                <m:degHide m:val="1"/>
                <m:ctrlPr>
                  <w:rPr>
                    <w:rFonts w:ascii="Cambria Math" w:hAnsi="Cambria Math" w:cs="Times New Roman"/>
                    <w:sz w:val="20"/>
                    <w:szCs w:val="20"/>
                  </w:rPr>
                </m:ctrlPr>
              </m:radPr>
              <m:deg/>
              <m:e>
                <m:sSup>
                  <m:sSupPr>
                    <m:ctrlPr>
                      <w:rPr>
                        <w:rFonts w:ascii="Cambria Math" w:hAnsi="Cambria Math" w:cs="Times New Roman"/>
                        <w:sz w:val="20"/>
                        <w:szCs w:val="20"/>
                      </w:rPr>
                    </m:ctrlPr>
                  </m:sSupPr>
                  <m:e>
                    <m:r>
                      <w:rPr>
                        <w:rFonts w:ascii="Cambria Math" w:hAnsi="Cambria Math" w:cs="Cambria Math"/>
                        <w:sz w:val="20"/>
                        <w:szCs w:val="20"/>
                      </w:rPr>
                      <m:t>b</m:t>
                    </m:r>
                  </m:e>
                  <m:sup>
                    <m:r>
                      <m:rPr>
                        <m:sty m:val="p"/>
                      </m:rPr>
                      <w:rPr>
                        <w:rFonts w:ascii="Cambria Math" w:hAnsi="Cambria Math" w:cs="Cambria Math"/>
                        <w:sz w:val="20"/>
                        <w:szCs w:val="20"/>
                      </w:rPr>
                      <m:t>2</m:t>
                    </m:r>
                  </m:sup>
                </m:sSup>
                <m:r>
                  <m:rPr>
                    <m:sty m:val="p"/>
                  </m:rPr>
                  <w:rPr>
                    <w:rFonts w:ascii="Cambria Math" w:hAnsi="Cambria Math" w:cs="Cambria Math"/>
                    <w:sz w:val="20"/>
                    <w:szCs w:val="20"/>
                  </w:rPr>
                  <m:t>-4</m:t>
                </m:r>
                <m:r>
                  <w:rPr>
                    <w:rFonts w:ascii="Cambria Math" w:hAnsi="Cambria Math" w:cs="Cambria Math"/>
                    <w:sz w:val="20"/>
                    <w:szCs w:val="20"/>
                  </w:rPr>
                  <m:t>ac</m:t>
                </m:r>
              </m:e>
            </m:rad>
          </m:num>
          <m:den>
            <m:r>
              <m:rPr>
                <m:sty m:val="p"/>
              </m:rPr>
              <w:rPr>
                <w:rFonts w:ascii="Cambria Math" w:hAnsi="Cambria Math" w:cs="Cambria Math"/>
                <w:sz w:val="20"/>
                <w:szCs w:val="20"/>
              </w:rPr>
              <m:t>2</m:t>
            </m:r>
            <m:r>
              <w:rPr>
                <w:rFonts w:ascii="Cambria Math" w:hAnsi="Cambria Math" w:cs="Cambria Math"/>
                <w:sz w:val="20"/>
                <w:szCs w:val="20"/>
              </w:rPr>
              <m:t>a</m:t>
            </m:r>
          </m:den>
        </m:f>
      </m:oMath>
      <w:r>
        <w:rPr>
          <w:rFonts w:cs="Times New Roman"/>
          <w:sz w:val="20"/>
          <w:szCs w:val="20"/>
        </w:rPr>
        <w:tab/>
        <w:t>(1)</w:t>
      </w:r>
    </w:p>
    <w:p w:rsidR="00ED0371" w:rsidRDefault="00ED0371" w:rsidP="00ED0371">
      <w:pPr>
        <w:rPr>
          <w:rFonts w:eastAsia="Times New Roman" w:cs="Times New Roman"/>
          <w:szCs w:val="24"/>
          <w:lang w:eastAsia="ru-RU"/>
        </w:rPr>
      </w:pPr>
      <w:r w:rsidRPr="00E75CD3">
        <w:rPr>
          <w:rFonts w:eastAsia="Times New Roman" w:cs="Times New Roman"/>
          <w:szCs w:val="24"/>
          <w:lang w:eastAsia="ru-RU"/>
        </w:rPr>
        <w:t xml:space="preserve">Нумерованные и маркированные списки должны выполняться при помощи соответствующих средств MS Word, а не вручную. </w:t>
      </w:r>
    </w:p>
    <w:p w:rsidR="00ED0371" w:rsidRDefault="00ED0371" w:rsidP="00ED0371">
      <w:pPr>
        <w:rPr>
          <w:lang w:eastAsia="ru-RU"/>
        </w:rPr>
      </w:pPr>
    </w:p>
    <w:p w:rsidR="00ED0371" w:rsidRDefault="00657A17" w:rsidP="00657A17">
      <w:pPr>
        <w:pStyle w:val="1"/>
        <w:numPr>
          <w:ilvl w:val="0"/>
          <w:numId w:val="19"/>
        </w:numPr>
      </w:pPr>
      <w:r>
        <w:t>Обсуждение</w:t>
      </w:r>
    </w:p>
    <w:p w:rsidR="00657A17" w:rsidRPr="005B3745" w:rsidRDefault="00657A17" w:rsidP="00F547D2">
      <w:pPr>
        <w:rPr>
          <w:lang w:eastAsia="ru-RU"/>
        </w:rPr>
      </w:pPr>
      <w:r w:rsidRPr="001D3127">
        <w:rPr>
          <w:lang w:eastAsia="ru-RU"/>
        </w:rPr>
        <w:t>Данный раздел отличается критичностью авторских взглядов на свое исследование. Здесь следует как можно точнее раскрыть смысл результатов, полученных в предыдущем разделе и продемонстрировать, как они связаны с другими исследованиями, представленными на международной научной арене.</w:t>
      </w:r>
    </w:p>
    <w:p w:rsidR="00994681" w:rsidRPr="00657A17" w:rsidRDefault="00994681" w:rsidP="00657A17">
      <w:pPr>
        <w:rPr>
          <w:lang w:eastAsia="ru-RU"/>
        </w:rPr>
      </w:pPr>
    </w:p>
    <w:p w:rsidR="00657A17" w:rsidRDefault="00657A17" w:rsidP="00657A17">
      <w:pPr>
        <w:pStyle w:val="1"/>
        <w:numPr>
          <w:ilvl w:val="0"/>
          <w:numId w:val="19"/>
        </w:numPr>
      </w:pPr>
      <w:r>
        <w:t>Заключение</w:t>
      </w:r>
    </w:p>
    <w:p w:rsidR="00657A17" w:rsidRPr="00B078D5" w:rsidRDefault="006F3E02" w:rsidP="006F3E02">
      <w:pPr>
        <w:rPr>
          <w:color w:val="000000" w:themeColor="text1"/>
          <w:lang w:eastAsia="ru-RU"/>
        </w:rPr>
      </w:pPr>
      <w:r w:rsidRPr="00B078D5">
        <w:rPr>
          <w:color w:val="000000" w:themeColor="text1"/>
          <w:lang w:eastAsia="ru-RU"/>
        </w:rPr>
        <w:t xml:space="preserve">В данном разделе кратко излагаются полученные результаты исследования. Заключение рекомендуется представлять в виде нумерованных выводов, которые кратко формулируют научные результаты статьи. </w:t>
      </w:r>
    </w:p>
    <w:p w:rsidR="006F3E02" w:rsidRPr="00657A17" w:rsidRDefault="006F3E02" w:rsidP="006F3E02">
      <w:pPr>
        <w:rPr>
          <w:lang w:eastAsia="ru-RU"/>
        </w:rPr>
      </w:pPr>
    </w:p>
    <w:p w:rsidR="00657A17" w:rsidRDefault="00657A17" w:rsidP="00657A17">
      <w:pPr>
        <w:pStyle w:val="1"/>
        <w:numPr>
          <w:ilvl w:val="0"/>
          <w:numId w:val="19"/>
        </w:numPr>
      </w:pPr>
      <w:r>
        <w:t>Благодарности</w:t>
      </w:r>
    </w:p>
    <w:p w:rsidR="00657A17" w:rsidRPr="00B74262" w:rsidRDefault="00657A17" w:rsidP="00657A17">
      <w:pPr>
        <w:rPr>
          <w:lang w:eastAsia="ru-RU"/>
        </w:rPr>
      </w:pPr>
      <w:r w:rsidRPr="001D3127">
        <w:rPr>
          <w:lang w:eastAsia="ru-RU"/>
        </w:rPr>
        <w:t xml:space="preserve">Данный раздел не является обязательным, в нем выражается благодарность за финансовую, информационную и другую поддержку, оказанную </w:t>
      </w:r>
      <w:r w:rsidR="002F3FB4">
        <w:rPr>
          <w:lang w:eastAsia="ru-RU"/>
        </w:rPr>
        <w:t>авторам в ходе написания статьи (например, средства грантов, субсидий и т.д.)</w:t>
      </w:r>
      <w:r w:rsidR="001F33FB">
        <w:rPr>
          <w:lang w:eastAsia="ru-RU"/>
        </w:rPr>
        <w:t>.</w:t>
      </w:r>
    </w:p>
    <w:p w:rsidR="00657A17" w:rsidRPr="00657A17" w:rsidRDefault="00657A17" w:rsidP="00657A17">
      <w:pPr>
        <w:rPr>
          <w:lang w:eastAsia="ru-RU"/>
        </w:rPr>
      </w:pPr>
    </w:p>
    <w:p w:rsidR="00ED0371" w:rsidRPr="001E4040" w:rsidRDefault="001E4040" w:rsidP="00ED0371">
      <w:pPr>
        <w:rPr>
          <w:i/>
          <w:lang w:eastAsia="ru-RU"/>
        </w:rPr>
      </w:pPr>
      <w:r>
        <w:rPr>
          <w:rFonts w:eastAsia="Times New Roman" w:cs="Times New Roman"/>
          <w:b/>
          <w:szCs w:val="24"/>
          <w:u w:val="single"/>
          <w:lang w:eastAsia="ru-RU"/>
        </w:rPr>
        <w:t>**</w:t>
      </w:r>
      <w:r w:rsidRPr="00994681">
        <w:rPr>
          <w:rFonts w:eastAsia="Times New Roman" w:cs="Times New Roman"/>
          <w:b/>
          <w:szCs w:val="24"/>
          <w:u w:val="single"/>
          <w:lang w:eastAsia="ru-RU"/>
        </w:rPr>
        <w:t>Примечание:</w:t>
      </w:r>
      <w:r>
        <w:rPr>
          <w:rFonts w:eastAsia="Times New Roman" w:cs="Times New Roman"/>
          <w:szCs w:val="24"/>
          <w:lang w:eastAsia="ru-RU"/>
        </w:rPr>
        <w:t xml:space="preserve"> </w:t>
      </w:r>
      <w:r w:rsidR="0041381A" w:rsidRPr="001E4040">
        <w:rPr>
          <w:lang w:eastAsia="ru-RU"/>
        </w:rPr>
        <w:t>Список литературы также загружается отдельно от основного текста статьи через электронную редакцию.</w:t>
      </w:r>
      <w:r>
        <w:rPr>
          <w:lang w:eastAsia="ru-RU"/>
        </w:rPr>
        <w:t xml:space="preserve"> </w:t>
      </w:r>
    </w:p>
    <w:p w:rsidR="0041381A" w:rsidRDefault="0041381A" w:rsidP="00ED0371">
      <w:pPr>
        <w:rPr>
          <w:lang w:eastAsia="ru-RU"/>
        </w:rPr>
      </w:pPr>
    </w:p>
    <w:p w:rsidR="005B3745" w:rsidRDefault="005B3745" w:rsidP="005B3745">
      <w:pPr>
        <w:pStyle w:val="1"/>
      </w:pPr>
      <w:r>
        <w:t>Список литературы</w:t>
      </w:r>
    </w:p>
    <w:p w:rsidR="005B3745" w:rsidRPr="000525FB" w:rsidRDefault="005B3745" w:rsidP="005B3745">
      <w:pPr>
        <w:rPr>
          <w:lang w:eastAsia="ru-RU"/>
        </w:rPr>
      </w:pPr>
      <w:r>
        <w:rPr>
          <w:lang w:eastAsia="ru-RU"/>
        </w:rPr>
        <w:t>Список литературы должен содержать не менее 25 источников. Источники располагаются в порядке упоминания в тексте</w:t>
      </w:r>
      <w:r w:rsidRPr="007E4E3B">
        <w:rPr>
          <w:b/>
          <w:lang w:eastAsia="ru-RU"/>
        </w:rPr>
        <w:t>. В список литературы включаются только научные статьи</w:t>
      </w:r>
      <w:r>
        <w:rPr>
          <w:b/>
          <w:lang w:eastAsia="ru-RU"/>
        </w:rPr>
        <w:t>, сборники статей, монографии, сборники конференций</w:t>
      </w:r>
      <w:r w:rsidRPr="007E4E3B">
        <w:rPr>
          <w:b/>
          <w:lang w:eastAsia="ru-RU"/>
        </w:rPr>
        <w:t xml:space="preserve"> по теме исследования</w:t>
      </w:r>
      <w:r w:rsidRPr="007E4E3B">
        <w:rPr>
          <w:lang w:eastAsia="ru-RU"/>
        </w:rPr>
        <w:t>. Ссылки на аналитические отчеты, интернет ресурсы, законодательные акты и постановления правительства</w:t>
      </w:r>
      <w:r>
        <w:rPr>
          <w:lang w:eastAsia="ru-RU"/>
        </w:rPr>
        <w:t xml:space="preserve"> </w:t>
      </w:r>
      <w:r w:rsidRPr="007E4E3B">
        <w:rPr>
          <w:lang w:eastAsia="ru-RU"/>
        </w:rPr>
        <w:t xml:space="preserve">и иные источники, не являющиеся </w:t>
      </w:r>
      <w:r>
        <w:rPr>
          <w:lang w:eastAsia="ru-RU"/>
        </w:rPr>
        <w:t>научными</w:t>
      </w:r>
      <w:r w:rsidRPr="007E4E3B">
        <w:rPr>
          <w:lang w:eastAsia="ru-RU"/>
        </w:rPr>
        <w:t>, оформляются с помощью подстрочных сносок</w:t>
      </w:r>
      <w:r>
        <w:rPr>
          <w:lang w:eastAsia="ru-RU"/>
        </w:rPr>
        <w:t xml:space="preserve"> и НЕ включаются в список литературы</w:t>
      </w:r>
      <w:r w:rsidRPr="007E4E3B">
        <w:rPr>
          <w:lang w:eastAsia="ru-RU"/>
        </w:rPr>
        <w:t>.</w:t>
      </w:r>
      <w:r>
        <w:rPr>
          <w:lang w:eastAsia="ru-RU"/>
        </w:rPr>
        <w:t xml:space="preserve"> По статье необходимо подготовить только один англоязычный список литературы. Доля источников в списке литературы, являющихся статьями в научных журналах, должна быть более 80%. Все источники должны иметь </w:t>
      </w:r>
      <w:r>
        <w:rPr>
          <w:lang w:val="en-US" w:eastAsia="ru-RU"/>
        </w:rPr>
        <w:t>DOI</w:t>
      </w:r>
      <w:r w:rsidRPr="00D51044">
        <w:rPr>
          <w:lang w:eastAsia="ru-RU"/>
        </w:rPr>
        <w:t>.</w:t>
      </w:r>
      <w:r>
        <w:rPr>
          <w:lang w:eastAsia="ru-RU"/>
        </w:rPr>
        <w:t xml:space="preserve"> Для исключения ошибок в оформлении настоятельно рекомендуется использовать бесплатное программное обеспечение Mendeley.</w:t>
      </w:r>
      <w:r w:rsidRPr="000525FB">
        <w:rPr>
          <w:lang w:eastAsia="ru-RU"/>
        </w:rPr>
        <w:t xml:space="preserve"> </w:t>
      </w:r>
      <w:r>
        <w:rPr>
          <w:lang w:eastAsia="ru-RU"/>
        </w:rPr>
        <w:t>Стиль для англоязычного списка литературы можно установить в Mendeley Desktop. Для</w:t>
      </w:r>
      <w:r w:rsidRPr="005B3745">
        <w:rPr>
          <w:lang w:val="en-US" w:eastAsia="ru-RU"/>
        </w:rPr>
        <w:t xml:space="preserve"> </w:t>
      </w:r>
      <w:r>
        <w:rPr>
          <w:lang w:eastAsia="ru-RU"/>
        </w:rPr>
        <w:t>этого</w:t>
      </w:r>
      <w:r w:rsidRPr="005B3745">
        <w:rPr>
          <w:lang w:val="en-US" w:eastAsia="ru-RU"/>
        </w:rPr>
        <w:t xml:space="preserve"> </w:t>
      </w:r>
      <w:r>
        <w:rPr>
          <w:lang w:eastAsia="ru-RU"/>
        </w:rPr>
        <w:t>используйте</w:t>
      </w:r>
      <w:r w:rsidRPr="005B3745">
        <w:rPr>
          <w:lang w:val="en-US" w:eastAsia="ru-RU"/>
        </w:rPr>
        <w:t xml:space="preserve"> </w:t>
      </w:r>
      <w:r>
        <w:rPr>
          <w:lang w:eastAsia="ru-RU"/>
        </w:rPr>
        <w:t>в</w:t>
      </w:r>
      <w:r w:rsidRPr="005B3745">
        <w:rPr>
          <w:lang w:val="en-US" w:eastAsia="ru-RU"/>
        </w:rPr>
        <w:t xml:space="preserve"> </w:t>
      </w:r>
      <w:r w:rsidRPr="007E4E3B">
        <w:rPr>
          <w:lang w:val="en-US" w:eastAsia="ru-RU"/>
        </w:rPr>
        <w:t>Mendeley</w:t>
      </w:r>
      <w:r w:rsidRPr="005B3745">
        <w:rPr>
          <w:lang w:val="en-US" w:eastAsia="ru-RU"/>
        </w:rPr>
        <w:t xml:space="preserve"> </w:t>
      </w:r>
      <w:r w:rsidRPr="007E4E3B">
        <w:rPr>
          <w:lang w:val="en-US" w:eastAsia="ru-RU"/>
        </w:rPr>
        <w:t>Desktop</w:t>
      </w:r>
      <w:r w:rsidRPr="005B3745">
        <w:rPr>
          <w:lang w:val="en-US" w:eastAsia="ru-RU"/>
        </w:rPr>
        <w:t xml:space="preserve"> </w:t>
      </w:r>
      <w:r>
        <w:rPr>
          <w:lang w:eastAsia="ru-RU"/>
        </w:rPr>
        <w:t>пункты</w:t>
      </w:r>
      <w:r w:rsidRPr="005B3745">
        <w:rPr>
          <w:lang w:val="en-US" w:eastAsia="ru-RU"/>
        </w:rPr>
        <w:t xml:space="preserve"> </w:t>
      </w:r>
      <w:r>
        <w:rPr>
          <w:lang w:eastAsia="ru-RU"/>
        </w:rPr>
        <w:t>меню</w:t>
      </w:r>
      <w:r w:rsidRPr="007E4E3B">
        <w:rPr>
          <w:lang w:val="en-US" w:eastAsia="ru-RU"/>
        </w:rPr>
        <w:t xml:space="preserve"> View – Citation Stile – More Stiles – Get More Styles – Download – </w:t>
      </w:r>
      <w:r w:rsidR="008E6B7E" w:rsidRPr="008E6B7E">
        <w:rPr>
          <w:lang w:val="en-US" w:eastAsia="ru-RU"/>
        </w:rPr>
        <w:t>Elsevier - Harvard (with titles)</w:t>
      </w:r>
      <w:r w:rsidRPr="007E4E3B">
        <w:rPr>
          <w:lang w:val="en-US" w:eastAsia="ru-RU"/>
        </w:rPr>
        <w:t>.</w:t>
      </w:r>
      <w:r>
        <w:rPr>
          <w:lang w:val="en-US" w:eastAsia="ru-RU"/>
        </w:rPr>
        <w:t xml:space="preserve"> </w:t>
      </w:r>
      <w:r>
        <w:rPr>
          <w:lang w:eastAsia="ru-RU"/>
        </w:rPr>
        <w:t xml:space="preserve">Более подробно требования к списку литературы представлены по </w:t>
      </w:r>
      <w:hyperlink r:id="rId11" w:history="1">
        <w:r w:rsidRPr="000525FB">
          <w:rPr>
            <w:rStyle w:val="ad"/>
            <w:lang w:eastAsia="ru-RU"/>
          </w:rPr>
          <w:t>этой ссылке</w:t>
        </w:r>
      </w:hyperlink>
      <w:r>
        <w:rPr>
          <w:lang w:eastAsia="ru-RU"/>
        </w:rPr>
        <w:t>.</w:t>
      </w:r>
    </w:p>
    <w:p w:rsidR="005B3745" w:rsidRPr="000525FB" w:rsidRDefault="005B3745" w:rsidP="005B3745">
      <w:pPr>
        <w:rPr>
          <w:b/>
          <w:lang w:eastAsia="ru-RU"/>
        </w:rPr>
      </w:pPr>
    </w:p>
    <w:p w:rsidR="00AE07C0" w:rsidRPr="00D57C3E" w:rsidRDefault="00D57C3E" w:rsidP="00AE07C0">
      <w:pPr>
        <w:ind w:firstLine="0"/>
        <w:rPr>
          <w:b/>
        </w:rPr>
      </w:pPr>
      <w:r w:rsidRPr="00D57C3E">
        <w:rPr>
          <w:b/>
        </w:rPr>
        <w:lastRenderedPageBreak/>
        <w:t>Цитирование в тексте оформляется следующим образом:</w:t>
      </w:r>
    </w:p>
    <w:p w:rsidR="00AE07C0" w:rsidRDefault="00AE07C0" w:rsidP="00AE07C0">
      <w:pPr>
        <w:ind w:firstLine="0"/>
        <w:rPr>
          <w:lang w:val="en-US"/>
        </w:rPr>
      </w:pPr>
      <w:r>
        <w:rPr>
          <w:lang w:val="en-US"/>
        </w:rPr>
        <w:fldChar w:fldCharType="begin" w:fldLock="1"/>
      </w:r>
      <w:r w:rsidR="008E6B7E">
        <w:rPr>
          <w:lang w:val="en-US"/>
        </w:rPr>
        <w:instrText>ADDIN CSL_CITATION {"citationItems":[{"id":"ITEM-1","itemData":{"DOI":"10.3390/joitmc7010002","ISSN":"2199-8531","abstract":"The construction industry is high-tech and is one of the key areas for the strategic development of regions in terms of their digitalization. The construction complex provides regions with infrastructure of various levels from design documentation to commissioning, as well as reconstruction and major repairs of buildings. The article adopts an isolated regional approach, which is due to the need to assess specific territories by the level of readiness for digitalization of the construction complex. The purpose of the research is to determine the level of readiness of Russian regions for the digitalization of the construction complex by forming a rating of regions according to the indicator “the level of readiness of the region for digitalization of the construction complex”. To build the rating, the fuzzy sets method was applied using a triangular membership function, which allows to describe the influence of various processes on the formation of digitalization processes in the construction complex of the region. When forming the rating, a scale of fuzzy variable values is set which allows one to classify regions by levels, namely very low, low, medium, high, and very high. The generated rating is illustrated according to the specified scale. Based on the rating, the leading regions and outsider regions are identified by the formed indicator. It was determined that Moscow and Saint Petersburg are highly prepared for the digitalization of their construction complexes, and 53 regions of Russia are potentially prepared. In the future, it will be possible to create a rating of Russian regions on the level of readiness for digitalization of the construction complex with a two-year lag. Then, using the DEA shell analysis method, a quantitative assessment will be carried out that allows you to form performance boundaries and, against the background of four years, adjust the data to identify the most realistic picture. Also, the rating methodology considered by the authors allows us to scale this research to the international level, which will allow us to assess the level of digital development of construction complexes in other countries. The proposed rating algorithm is suitable for other sectors and complexes of the economy. It is enough to determine the main aggregate indicator and select groups of factors.","author":[{"dropping-particle":"","family":"Tereshko","given":"E.","non-dropping-particle":"","parse-names":false,"suffix":""},{"dropping-particle":"","family":"Romanovich","given":"M.","non-dropping-particle":"","parse-names":false,"suffix":""},{"dropping-particle":"","family":"Rudskaya","given":"I.","non-dropping-particle":"","parse-names":false,"suffix":""}],"container-title":"Journal of Open Innovation: Technology, Market, and Complexity","id":"ITEM-1","issue":"1","issued":{"date-parts":[["2020","12","23"]]},"page":"2","publisher":"MDPI, Open Access Journal","title":"Readiness of Regions for Digitalization of the Construction Complex","type":"article-journal","volume":"7"},"uris":["http://www.mendeley.com/documents/?uuid=ddc734f2-33c1-4f89-9b2f-23d09f9dbc82"]},{"id":"ITEM-2","itemData":{"DOI":"https://doi.org/10.14716/ijtech.v11i8.4528","ISSN":"2087-2100","author":[{"dropping-particle":"","family":"Skhvediani","given":"Angi","non-dropping-particle":"","parse-names":false,"suffix":""},{"dropping-particle":"","family":"Kudryavtseva","given":"Tatiana","non-dropping-particle":"","parse-names":false,"suffix":""}],"container-title":"International Journal of Technology","id":"ITEM-2","issue":"8","issued":{"date-parts":[["2020"]]},"page":"291-319","title":"Effectiveness Assessment of Investments in Robotic Biological Plant Protection","type":"article-journal","volume":"11"},"uris":["http://www.mendeley.com/documents/?uuid=87d15f6d-0504-4b4b-822f-af420acc9ecb"]},{"id":"ITEM-3","itemData":{"DOI":"10.5755/j01.ee.31.4.24833","ISSN":"2029-5839","abstract":"The examination of the economy-environment nexus is one of the focal issues in the field of environmental economics. This study examines the causal relationships between carbon dioxide (CO2) emissions, industry, services, and gross fixed capital formation for a panel of Balkan countries over the period 1996-2017. A three-step methodological approach is used, including panel unit root tests, panel cointegration tests, and panel causality tests. The results suggest a strong cointegration between the variables, meaning that all variables have a long-run relationship with CO2 emissions. The results of the panel causality show that there is a short-run bidirectional panel causality running between industry and services, and gross fixed capital formation and services. Moreover, there is a unidirectional causality running from industry and gross fixed capital formation to CO2 emissions, and from industry to gross fixed capital formation. The results of the long-run causal relationships show that estimated coefficients of the error correction terms (ECT) in the case of CO2 emissions, industry and gross fixed capital formation are statistically significant, indicating that these three variables are an important part in the adjustment process as the model diverges from the long-run equilibrium. Balkan countries need to further invest in the modernisation of their technological process, as well as to act following the global policy incentives. Environmental taxes, carbon capture and storage, taking part in emission trading schemes and orientation towards renewable energy sources, should further strengthen Balkan countries in achieving environmentally sound economic growth.","author":[{"dropping-particle":"","family":"Mitić","given":"Petar","non-dropping-particle":"","parse-names":false,"suffix":""},{"dropping-particle":"","family":"Kostić","given":"Aleksandar","non-dropping-particle":"","parse-names":false,"suffix":""},{"dropping-particle":"","family":"Petrović","given":"Evica","non-dropping-particle":"","parse-names":false,"suffix":""},{"dropping-particle":"","family":"Cvetanovic","given":"Slobodan","non-dropping-particle":"","parse-names":false,"suffix":""}],"container-title":"Engineering Economics","id":"ITEM-3","issue":"4","issued":{"date-parts":[["2020","10","29"]]},"page":"425-436","title":"The Relationship between CO2 Emissions, Industry, Services and Gross Fixed Capital Formation in the Balkan Countries","type":"article-journal","volume":"31"},"uris":["http://www.mendeley.com/documents/?uuid=e1cabe92-c82e-476b-a74d-a38b41dd3ccd"]},{"id":"ITEM-4","itemData":{"DOI":"10.1201/9780429466304","ISBN":"9780429466304","author":[{"dropping-particle":"","family":"Farr","given":"John Vail","non-dropping-particle":"","parse-names":false,"suffix":""},{"dropping-particle":"","family":"Faber","given":"Isaac","non-dropping-particle":"","parse-names":false,"suffix":""}],"edition":"1st Editio","id":"ITEM-4","issued":{"date-parts":[["2018","10","17"]]},"number-of-pages":"378","publisher":"CRC Press","publisher-place":"Boca Raton","title":"Engineering Economics of Life Cycle Cost Analysis","type":"book"},"uris":["http://www.mendeley.com/documents/?uuid=f2974afb-9bf9-4d4f-bc52-78f31236a694"]},{"id":"ITEM-5","itemData":{"DOI":"10.3390/joitmc6040118","ISSN":"2199-8531","abstract":"The innovation economy is the main direction for Russian’s regional development. It is important to understand organizations that utilize new technologies will determine the significance of innovations. Innovation is changing under the influence of society—the basis for the development of the society is knowledge transfer, and this is one of the most important tasks of the higher education system. In this regard, universities can be considered a factor in innovative development. In this article, the authors hypothesize a link between regional and university indicators. We assume that universities, as part of the regional innovation system, affects the effectiveness of this system. We believe that it is necessary to single out a system of indicators that can be used for analysis, which allows us to determine the efficiency of the region in terms of contribution of universities to its development—because, at the moment, there is no official methodology. The purpose of this study is to determine which indicators are significant for assessing the efficiency of the region, taking into account the activities of university complexes. We will evaluate the efficiency of regional innovation in the region using a data envelopment analysis (DEA). The research objects, or decision-making units (DMU), will be represented by 85 regions of the Russian Federation. A complex of universities operates in each region, and there is a list of socio-economic statistical indicators based on their performance over the past years. There are similar statistical results on the innovative activity of the regions. Thus, we will use the indicators of the complex of universities in the region as initial resources for analysis (2011), as well as indicators of the innovative development of the region as a result of the introduced resources (2018). A time lag of six years is justified by the end of the crisis, and the many factors affecting the activities of universities and regions. For example, increased funding for scientific activities of universities encourages small innovative enterprises within universities. As a result, we were able to identify the level of efficiency, and identify factors that are of greater importance in the resulting model. The findings of the study highlight the importance of educational organizations in the regional innovation system, and encourages alternative interactions between universities and the region, such as joint research and development, training …","author":[{"dropping-particle":"","family":"Rodionov","given":"Dmitrii","non-dropping-particle":"","parse-names":false,"suffix":""},{"dropping-particle":"","family":"Velichenkova","given":"Daria","non-dropping-particle":"","parse-names":false,"suffix":""}],"container-title":"Journal of Open Innovation: Technology, Market, and Complexity","id":"ITEM-5","issue":"4","issued":{"date-parts":[["2020","10","16"]]},"page":"118","publisher":"Multidisciplinary Digital Publishing Institute","title":"Relation between Russian Universities and Regional Innovation Development","type":"article-journal","volume":"6"},"uris":["http://www.mendeley.com/documents/?uuid=4d0695ae-4499-4679-89d0-256e355fa594"]},{"id":"ITEM-6","itemData":{"DOI":"10.1080/0013791X.2018.1498961","ISSN":"0013-791X","author":[{"dropping-particle":"","family":"Herath","given":"Hemantha S. B.","non-dropping-particle":"","parse-names":false,"suffix":""}],"container-title":"The Engineering Economist","id":"ITEM-6","issue":"1","issued":{"date-parts":[["2019","1","2"]]},"page":"40-67","title":"Postauditing and Cost Estimation Applications: An Illustration of MCMC Simulation for Bayesian Regression Analysis","type":"article-journal","volume":"64"},"uris":["http://www.mendeley.com/documents/?uuid=9783d230-3c5a-445c-8c98-714807a67a36"]},{"id":"ITEM-7","itemData":{"DOI":"10.1016/j.renene.2019.08.094","ISSN":"09601481","author":[{"dropping-particle":"","family":"Østergaard","given":"Poul Alberg","non-dropping-particle":"","parse-names":false,"suffix":""},{"dropping-particle":"","family":"Duic","given":"Neven","non-dropping-particle":"","parse-names":false,"suffix":""},{"dropping-particle":"","family":"Noorollahi","given":"Younes","non-dropping-particle":"","parse-names":false,"suffix":""},{"dropping-particle":"","family":"Mikulcic","given":"Hrvoje","non-dropping-particle":"","parse-names":false,"suffix":""},{"dropping-particle":"","family":"Kalogirou","given":"Soteris","non-dropping-particle":"","parse-names":false,"suffix":""}],"container-title":"Renewable Energy","id":"ITEM-7","issued":{"date-parts":[["2020","2"]]},"page":"2430-2437","title":"Sustainable development using renewable energy technology","type":"article-journal","volume":"146"},"uris":["http://www.mendeley.com/documents/?uuid=dc5bb3b0-7f52-42bf-be49-e9bbbfbe2884"]},{"id":"ITEM-8","itemData":{"DOI":"10.1016/j.renene.2021.01.022","ISSN":"09601481","author":[{"dropping-particle":"","family":"Alola","given":"A.A.","non-dropping-particle":"","parse-names":false,"suffix":""},{"dropping-particle":"","family":"Akadiri","given":"S.S.","non-dropping-particle":"","parse-names":false,"suffix":""}],"container-title":"Renewable Energy","id":"ITEM-8","issued":{"date-parts":[["2021","5"]]},"page":"221-230","title":"Clean energy development in the United States amidst augmented socioeconomic aspects and country-specific policies","type":"article-journal","volume":"169"},"uris":["http://www.mendeley.com/documents/?uuid=eef76402-c25d-47ee-a9ce-649e5a13d16a"]},{"id":"ITEM-9","itemData":{"DOI":"10.1016/j.apenergy.2020.114745","ISSN":"03062619","author":[{"dropping-particle":"","family":"Abd Alla","given":"Sara","non-dropping-particle":"","parse-names":false,"suffix":""},{"dropping-particle":"","family":"Bianco","given":"Vincenzo","non-dropping-particle":"","parse-names":false,"suffix":""},{"dropping-particle":"","family":"Tagliafico","given":"Luca A.","non-dropping-particle":"","parse-names":false,"suffix":""},{"dropping-particle":"","family":"Scarpa","given":"Federico","non-dropping-particle":"","parse-names":false,"suffix":""}],"container-title":"Applied Energy","id":"ITEM-9","issued":{"date-parts":[["2020","4"]]},"page":"114745","title":"Life-cycle approach to the estimation of energy efficiency measures in the buildings sector","type":"article-journal","volume":"264"},"uris":["http://www.mendeley.com/documents/?uuid=6f1c2efa-e6d3-4893-ad4d-e2496f8ce6b5"]},{"id":"ITEM-10","itemData":{"DOI":"10.1016/j.erss.2020.101854","ISSN":"22146296","author":[{"dropping-particle":"","family":"Lerman","given":"Laura Visintainer","non-dropping-particle":"","parse-names":false,"suffix":""},{"dropping-particle":"","family":"Gerstlberger","given":"Wolfgang","non-dropping-particle":"","parse-names":false,"suffix":""},{"dropping-particle":"","family":"Ferreira Lima","given":"Mateus","non-dropping-particle":"","parse-names":false,"suffix":""},{"dropping-particle":"","family":"Frank","given":"Alejandro G.","non-dropping-particle":"","parse-names":false,"suffix":""}],"container-title":"Energy Research &amp; Social Science","id":"ITEM-10","issued":{"date-parts":[["2021","1"]]},"page":"101854","title":"How governments, universities, and companies contribute to renewable energy development? A municipal innovation policy perspective of the triple helix","type":"article-journal","volume":"71"},"uris":["http://www.mendeley.com/documents/?uuid=9c103653-0635-4647-b2cc-009d098c7edf"]},{"id":"ITEM-11","itemData":{"DOI":"10.1145/3444465.3444520","ISBN":"9781450388313","author":[{"dropping-particle":"","family":"Rodionov","given":"Dmitriy","non-dropping-particle":"","parse-names":false,"suffix":""},{"dropping-particle":"","family":"Mokeeva","given":"Tatiana","non-dropping-particle":"","parse-names":false,"suffix":""},{"dropping-particle":"","family":"Aliev","given":"Ismail","non-dropping-particle":"","parse-names":false,"suffix":""}],"container-title":"Proceedings of the 2nd International Scientific Conference on Innovations in Digital Economy: SPBPU IDE-2020","id":"ITEM-11","issued":{"date-parts":[["2020","10","22"]]},"page":"1-5","publisher":"ACM","publisher-place":"New York, NY, USA","title":"Development of an Optimization Model for the Formation of an Innovative Project Portfolio per Stages of the Life Cycle","type":"paper-conference"},"uris":["http://www.mendeley.com/documents/?uuid=cfc5271f-5625-402d-aef8-e56e385edb95"]}],"mendeley":{"formattedCitation":"(Abd Alla et al., 2020; Alola and Akadiri, 2021; Farr and Faber, 2018; Herath, 2019; Lerman et al., 2021; Mitić et al., 2020; Østergaard et al., 2020; Rodionov et al., 2020; Rodionov and Velichenkova, 2020; Skhvediani and Kudryavtseva, 2020; Tereshko et al., 2020)","plainTextFormattedCitation":"(Abd Alla et al., 2020; Alola and Akadiri, 2021; Farr and Faber, 2018; Herath, 2019; Lerman et al., 2021; Mitić et al., 2020; Østergaard et al., 2020; Rodionov et al., 2020; Rodionov and Velichenkova, 2020; Skhvediani and Kudryavtseva, 2020; Tereshko et al., 2020)","previouslyFormattedCitation":"(Abd Alla et al., 2020; Alola and Akadiri, 2021; Farr and Faber, 2018; Herath, 2019; Lerman et al., 2021; Mitić et al., 2020; Østergaard et al., 2020; Rodionov et al., 2020; Rodionov and Velichenkova, 2020; Skhvediani and Kudryavtseva, 2020; Tereshko et al., 2020)"},"properties":{"noteIndex":0},"schema":"https://github.com/citation-style-language/schema/raw/master/csl-citation.json"}</w:instrText>
      </w:r>
      <w:r>
        <w:rPr>
          <w:lang w:val="en-US"/>
        </w:rPr>
        <w:fldChar w:fldCharType="separate"/>
      </w:r>
      <w:r w:rsidR="008E6B7E" w:rsidRPr="008E6B7E">
        <w:rPr>
          <w:noProof/>
          <w:lang w:val="en-US"/>
        </w:rPr>
        <w:t>(Abd Alla et al., 2020; Alola and Akadiri, 2021; Farr and Faber, 2018; Herath, 2019; Lerman et al., 2021; Mitić et al., 2020; Østergaard et al., 2020; Rodionov et al., 2020; Rodionov and Velichenkova, 2020; Skhvediani and Kudryavtseva, 2020; Tereshko et al., 2020)</w:t>
      </w:r>
      <w:r>
        <w:rPr>
          <w:lang w:val="en-US"/>
        </w:rPr>
        <w:fldChar w:fldCharType="end"/>
      </w:r>
    </w:p>
    <w:p w:rsidR="00E2634D" w:rsidRPr="00E2634D" w:rsidRDefault="00E2634D" w:rsidP="00D57C3E">
      <w:pPr>
        <w:ind w:firstLine="0"/>
        <w:rPr>
          <w:lang w:val="en-US" w:eastAsia="ru-RU"/>
        </w:rPr>
      </w:pPr>
    </w:p>
    <w:p w:rsidR="00ED0371" w:rsidRPr="00E2634D" w:rsidRDefault="00ED0371" w:rsidP="00ED0371">
      <w:pPr>
        <w:rPr>
          <w:lang w:val="en-US" w:eastAsia="ru-RU"/>
        </w:rPr>
      </w:pPr>
    </w:p>
    <w:p w:rsidR="00ED0371" w:rsidRPr="00D57C3E" w:rsidRDefault="00D57C3E" w:rsidP="00D57C3E">
      <w:pPr>
        <w:ind w:firstLine="0"/>
        <w:rPr>
          <w:b/>
          <w:lang w:eastAsia="ru-RU"/>
        </w:rPr>
      </w:pPr>
      <w:r w:rsidRPr="00D57C3E">
        <w:rPr>
          <w:b/>
          <w:lang w:eastAsia="ru-RU"/>
        </w:rPr>
        <w:t>Пример списка литературы:</w:t>
      </w:r>
    </w:p>
    <w:p w:rsidR="008E6B7E" w:rsidRPr="000351C1" w:rsidRDefault="00AE07C0" w:rsidP="008E6B7E">
      <w:pPr>
        <w:widowControl w:val="0"/>
        <w:autoSpaceDE w:val="0"/>
        <w:autoSpaceDN w:val="0"/>
        <w:adjustRightInd w:val="0"/>
        <w:ind w:left="480" w:hanging="480"/>
        <w:rPr>
          <w:rFonts w:cs="Times New Roman"/>
          <w:noProof/>
          <w:szCs w:val="24"/>
          <w:lang w:val="en-US"/>
        </w:rPr>
      </w:pPr>
      <w:r>
        <w:rPr>
          <w:lang w:val="en-US" w:eastAsia="ru-RU"/>
        </w:rPr>
        <w:fldChar w:fldCharType="begin" w:fldLock="1"/>
      </w:r>
      <w:r>
        <w:rPr>
          <w:lang w:val="en-US" w:eastAsia="ru-RU"/>
        </w:rPr>
        <w:instrText xml:space="preserve">ADDIN Mendeley Bibliography CSL_BIBLIOGRAPHY </w:instrText>
      </w:r>
      <w:r>
        <w:rPr>
          <w:lang w:val="en-US" w:eastAsia="ru-RU"/>
        </w:rPr>
        <w:fldChar w:fldCharType="separate"/>
      </w:r>
      <w:r w:rsidR="008E6B7E" w:rsidRPr="000351C1">
        <w:rPr>
          <w:rFonts w:cs="Times New Roman"/>
          <w:noProof/>
          <w:szCs w:val="24"/>
          <w:lang w:val="en-US"/>
        </w:rPr>
        <w:t>Abd Alla, S., Bianco, V., Tagliafico, L.A., Scarpa, F., 2020. Life-cycle approach to the estimation of energy efficiency measures in the buildings sector. Appl. Energy 264, 114745. https://doi.org/10.1016/j.apenergy.2020.114745</w:t>
      </w:r>
    </w:p>
    <w:p w:rsidR="008E6B7E" w:rsidRPr="000351C1" w:rsidRDefault="008E6B7E" w:rsidP="008E6B7E">
      <w:pPr>
        <w:widowControl w:val="0"/>
        <w:autoSpaceDE w:val="0"/>
        <w:autoSpaceDN w:val="0"/>
        <w:adjustRightInd w:val="0"/>
        <w:ind w:left="480" w:hanging="480"/>
        <w:rPr>
          <w:rFonts w:cs="Times New Roman"/>
          <w:noProof/>
          <w:szCs w:val="24"/>
          <w:lang w:val="en-US"/>
        </w:rPr>
      </w:pPr>
      <w:r w:rsidRPr="000351C1">
        <w:rPr>
          <w:rFonts w:cs="Times New Roman"/>
          <w:noProof/>
          <w:szCs w:val="24"/>
          <w:lang w:val="en-US"/>
        </w:rPr>
        <w:t>Alola, A.A., Akadiri, S.S., 2021. Clean energy development in the United States amidst augmented socioeconomic aspects and country-specific policies. Renew. Energy 169, 221–230. https://doi.org/10.1016/j.renene.2021.01.022</w:t>
      </w:r>
    </w:p>
    <w:p w:rsidR="008E6B7E" w:rsidRPr="00B362FB" w:rsidRDefault="008E6B7E" w:rsidP="008E6B7E">
      <w:pPr>
        <w:widowControl w:val="0"/>
        <w:autoSpaceDE w:val="0"/>
        <w:autoSpaceDN w:val="0"/>
        <w:adjustRightInd w:val="0"/>
        <w:ind w:left="480" w:hanging="480"/>
        <w:rPr>
          <w:rFonts w:cs="Times New Roman"/>
          <w:noProof/>
          <w:szCs w:val="24"/>
          <w:lang w:val="en-US"/>
        </w:rPr>
      </w:pPr>
      <w:r w:rsidRPr="00B362FB">
        <w:rPr>
          <w:rFonts w:cs="Times New Roman"/>
          <w:noProof/>
          <w:szCs w:val="24"/>
          <w:lang w:val="en-US"/>
        </w:rPr>
        <w:t>Farr, J.V., Faber, I., 2018. Engineering Economics of Life Cycle Cost Analysis, 1st Editio. ed. CRC Press, Boca Raton. https://doi.org/10.1201/9780429466304</w:t>
      </w:r>
    </w:p>
    <w:p w:rsidR="008E6B7E" w:rsidRPr="000351C1" w:rsidRDefault="008E6B7E" w:rsidP="008E6B7E">
      <w:pPr>
        <w:widowControl w:val="0"/>
        <w:autoSpaceDE w:val="0"/>
        <w:autoSpaceDN w:val="0"/>
        <w:adjustRightInd w:val="0"/>
        <w:ind w:left="480" w:hanging="480"/>
        <w:rPr>
          <w:rFonts w:cs="Times New Roman"/>
          <w:noProof/>
          <w:szCs w:val="24"/>
          <w:lang w:val="en-US"/>
        </w:rPr>
      </w:pPr>
      <w:r w:rsidRPr="000351C1">
        <w:rPr>
          <w:rFonts w:cs="Times New Roman"/>
          <w:noProof/>
          <w:szCs w:val="24"/>
          <w:lang w:val="en-US"/>
        </w:rPr>
        <w:t>Herath, H.S.B., 2019. Postauditing and Cost Estimation Applications: An Illustration of MCMC Simulation for Bayesian Regression Analysis. Eng. Econ. 64, 40–67. https://doi.org/10.1080/0013791X.2018.1498961</w:t>
      </w:r>
    </w:p>
    <w:p w:rsidR="008E6B7E" w:rsidRPr="000351C1" w:rsidRDefault="008E6B7E" w:rsidP="008E6B7E">
      <w:pPr>
        <w:widowControl w:val="0"/>
        <w:autoSpaceDE w:val="0"/>
        <w:autoSpaceDN w:val="0"/>
        <w:adjustRightInd w:val="0"/>
        <w:ind w:left="480" w:hanging="480"/>
        <w:rPr>
          <w:rFonts w:cs="Times New Roman"/>
          <w:noProof/>
          <w:szCs w:val="24"/>
          <w:lang w:val="en-US"/>
        </w:rPr>
      </w:pPr>
      <w:r w:rsidRPr="000351C1">
        <w:rPr>
          <w:rFonts w:cs="Times New Roman"/>
          <w:noProof/>
          <w:szCs w:val="24"/>
          <w:lang w:val="en-US"/>
        </w:rPr>
        <w:t>Lerman, L.V., Gerstlberger, W., Ferreira Lima, M., Frank, A.G., 2021. How governments, universities, and companies contribute to renewable energy development? A municipal innovation policy perspective of the triple helix. Energy Res. Soc. Sci. 71, 101854. https://doi.org/10.1016/j.erss.2020.101854</w:t>
      </w:r>
    </w:p>
    <w:p w:rsidR="008E6B7E" w:rsidRPr="00D57C3E" w:rsidRDefault="008E6B7E" w:rsidP="008E6B7E">
      <w:pPr>
        <w:widowControl w:val="0"/>
        <w:autoSpaceDE w:val="0"/>
        <w:autoSpaceDN w:val="0"/>
        <w:adjustRightInd w:val="0"/>
        <w:ind w:left="480" w:hanging="480"/>
        <w:rPr>
          <w:rFonts w:cs="Times New Roman"/>
          <w:noProof/>
          <w:szCs w:val="24"/>
          <w:lang w:val="en-US"/>
        </w:rPr>
      </w:pPr>
      <w:r w:rsidRPr="000351C1">
        <w:rPr>
          <w:rFonts w:cs="Times New Roman"/>
          <w:noProof/>
          <w:szCs w:val="24"/>
          <w:lang w:val="en-US"/>
        </w:rPr>
        <w:t>Mitić, P., Kostić, A., Petrović, E., Cvetanovic, S., 2020. The Relat</w:t>
      </w:r>
      <w:r w:rsidRPr="00D57C3E">
        <w:rPr>
          <w:rFonts w:cs="Times New Roman"/>
          <w:noProof/>
          <w:szCs w:val="24"/>
          <w:lang w:val="en-US"/>
        </w:rPr>
        <w:t>ionship between CO2 Emissions, Industry, Services and Gross Fixed Capital Formation in the Balkan Countries. Eng. Econ. 31, 425–436. https://doi.org/10.5755/j01.ee.31.4.24833</w:t>
      </w:r>
    </w:p>
    <w:p w:rsidR="008E6B7E" w:rsidRPr="00D57C3E" w:rsidRDefault="008E6B7E" w:rsidP="008E6B7E">
      <w:pPr>
        <w:widowControl w:val="0"/>
        <w:autoSpaceDE w:val="0"/>
        <w:autoSpaceDN w:val="0"/>
        <w:adjustRightInd w:val="0"/>
        <w:ind w:left="480" w:hanging="480"/>
        <w:rPr>
          <w:rFonts w:cs="Times New Roman"/>
          <w:noProof/>
          <w:szCs w:val="24"/>
          <w:lang w:val="en-US"/>
        </w:rPr>
      </w:pPr>
      <w:r w:rsidRPr="00D57C3E">
        <w:rPr>
          <w:rFonts w:cs="Times New Roman"/>
          <w:noProof/>
          <w:szCs w:val="24"/>
          <w:lang w:val="en-US"/>
        </w:rPr>
        <w:t>Østergaard, P.A., Duic, N., Noorollahi, Y., Mikulcic, H., Kalogirou, S., 2020. Sustainable development using renewable energy technology. Renew. Energy 146, 2430–2437. https://doi.org/10.1016/j.renene.2019.08.094</w:t>
      </w:r>
    </w:p>
    <w:p w:rsidR="008E6B7E" w:rsidRPr="00D57C3E" w:rsidRDefault="008E6B7E" w:rsidP="008E6B7E">
      <w:pPr>
        <w:widowControl w:val="0"/>
        <w:autoSpaceDE w:val="0"/>
        <w:autoSpaceDN w:val="0"/>
        <w:adjustRightInd w:val="0"/>
        <w:ind w:left="480" w:hanging="480"/>
        <w:rPr>
          <w:rFonts w:cs="Times New Roman"/>
          <w:noProof/>
          <w:szCs w:val="24"/>
          <w:lang w:val="en-US"/>
        </w:rPr>
      </w:pPr>
      <w:r w:rsidRPr="00D57C3E">
        <w:rPr>
          <w:rFonts w:cs="Times New Roman"/>
          <w:noProof/>
          <w:szCs w:val="24"/>
          <w:lang w:val="en-US"/>
        </w:rPr>
        <w:t>Rodionov, D., Mokeeva, T., Aliev, I., 2020. Development of an Optimization Model for the Formation of an Innovative Project Portfolio per Stages of the Life Cycle, in: Proceedings of the 2nd International Scientific Conference on Innovations in Digital Economy: SPBPU IDE-2020. ACM, New York, NY, USA, pp. 1–5. https://doi.org/10.1145/3444465.3444520</w:t>
      </w:r>
    </w:p>
    <w:p w:rsidR="008E6B7E" w:rsidRPr="00D57C3E" w:rsidRDefault="008E6B7E" w:rsidP="008E6B7E">
      <w:pPr>
        <w:widowControl w:val="0"/>
        <w:autoSpaceDE w:val="0"/>
        <w:autoSpaceDN w:val="0"/>
        <w:adjustRightInd w:val="0"/>
        <w:ind w:left="480" w:hanging="480"/>
        <w:rPr>
          <w:rFonts w:cs="Times New Roman"/>
          <w:noProof/>
          <w:szCs w:val="24"/>
          <w:lang w:val="en-US"/>
        </w:rPr>
      </w:pPr>
      <w:r w:rsidRPr="00D57C3E">
        <w:rPr>
          <w:rFonts w:cs="Times New Roman"/>
          <w:noProof/>
          <w:szCs w:val="24"/>
          <w:lang w:val="en-US"/>
        </w:rPr>
        <w:t>Rodionov, D., Velichenkova, D., 2020. Relation between Russian Universities and Regional Innovation Development. J. Open Innov. Technol. Mark. Complex. 6, 118. https://doi.org/10.3390/joitmc6040118</w:t>
      </w:r>
    </w:p>
    <w:p w:rsidR="008E6B7E" w:rsidRPr="00D57C3E" w:rsidRDefault="008E6B7E" w:rsidP="008E6B7E">
      <w:pPr>
        <w:widowControl w:val="0"/>
        <w:autoSpaceDE w:val="0"/>
        <w:autoSpaceDN w:val="0"/>
        <w:adjustRightInd w:val="0"/>
        <w:ind w:left="480" w:hanging="480"/>
        <w:rPr>
          <w:rFonts w:cs="Times New Roman"/>
          <w:noProof/>
          <w:szCs w:val="24"/>
          <w:lang w:val="en-US"/>
        </w:rPr>
      </w:pPr>
      <w:r w:rsidRPr="00D57C3E">
        <w:rPr>
          <w:rFonts w:cs="Times New Roman"/>
          <w:noProof/>
          <w:szCs w:val="24"/>
          <w:lang w:val="en-US"/>
        </w:rPr>
        <w:t>Skhvediani, A., Kudryavtseva, T., 2020. Effectiveness Assessment of Investments in Robotic Biological Plant Protection. Int. J. Technol. 11, 291–319. https://doi.org/https://doi.org/10.14716/ijtech.v11i8.4528</w:t>
      </w:r>
    </w:p>
    <w:p w:rsidR="008E6B7E" w:rsidRPr="008E6B7E" w:rsidRDefault="008E6B7E" w:rsidP="008E6B7E">
      <w:pPr>
        <w:widowControl w:val="0"/>
        <w:autoSpaceDE w:val="0"/>
        <w:autoSpaceDN w:val="0"/>
        <w:adjustRightInd w:val="0"/>
        <w:ind w:left="480" w:hanging="480"/>
        <w:rPr>
          <w:rFonts w:cs="Times New Roman"/>
          <w:noProof/>
        </w:rPr>
      </w:pPr>
      <w:r w:rsidRPr="00D57C3E">
        <w:rPr>
          <w:rFonts w:cs="Times New Roman"/>
          <w:noProof/>
          <w:szCs w:val="24"/>
          <w:lang w:val="en-US"/>
        </w:rPr>
        <w:t xml:space="preserve">Tereshko, E., Romanovich, M., Rudskaya, I., 2020. Readiness of Regions for Digitalization of the Construction Complex. </w:t>
      </w:r>
      <w:r w:rsidRPr="008E6B7E">
        <w:rPr>
          <w:rFonts w:cs="Times New Roman"/>
          <w:noProof/>
          <w:szCs w:val="24"/>
        </w:rPr>
        <w:t>J. Open Innov. Technol. Mark. Complex. 7, 2. https://doi.org/10.3390/joitmc7010002</w:t>
      </w:r>
    </w:p>
    <w:p w:rsidR="00CA6948" w:rsidRPr="00E2634D" w:rsidRDefault="00AE07C0" w:rsidP="00CA6948">
      <w:pPr>
        <w:rPr>
          <w:lang w:val="en-US" w:eastAsia="ru-RU"/>
        </w:rPr>
      </w:pPr>
      <w:r>
        <w:rPr>
          <w:lang w:val="en-US" w:eastAsia="ru-RU"/>
        </w:rPr>
        <w:fldChar w:fldCharType="end"/>
      </w:r>
    </w:p>
    <w:sectPr w:rsidR="00CA6948" w:rsidRPr="00E2634D" w:rsidSect="00FD2258">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8B9" w:rsidRDefault="003378B9" w:rsidP="00E75CD3">
      <w:r>
        <w:separator/>
      </w:r>
    </w:p>
  </w:endnote>
  <w:endnote w:type="continuationSeparator" w:id="0">
    <w:p w:rsidR="003378B9" w:rsidRDefault="003378B9" w:rsidP="00E7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8B9" w:rsidRDefault="003378B9" w:rsidP="00E75CD3">
      <w:r>
        <w:separator/>
      </w:r>
    </w:p>
  </w:footnote>
  <w:footnote w:type="continuationSeparator" w:id="0">
    <w:p w:rsidR="003378B9" w:rsidRDefault="003378B9" w:rsidP="00E75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8C0"/>
    <w:multiLevelType w:val="hybridMultilevel"/>
    <w:tmpl w:val="32DA5C88"/>
    <w:lvl w:ilvl="0" w:tplc="492C8D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0B6737"/>
    <w:multiLevelType w:val="hybridMultilevel"/>
    <w:tmpl w:val="56463612"/>
    <w:lvl w:ilvl="0" w:tplc="0409000F">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3049E4"/>
    <w:multiLevelType w:val="hybridMultilevel"/>
    <w:tmpl w:val="27C88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D41770"/>
    <w:multiLevelType w:val="multilevel"/>
    <w:tmpl w:val="C7F8F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7064C1"/>
    <w:multiLevelType w:val="hybridMultilevel"/>
    <w:tmpl w:val="24DC679C"/>
    <w:lvl w:ilvl="0" w:tplc="F2C07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996B9F"/>
    <w:multiLevelType w:val="hybridMultilevel"/>
    <w:tmpl w:val="FF68F82C"/>
    <w:lvl w:ilvl="0" w:tplc="F2C07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4D1D0E"/>
    <w:multiLevelType w:val="multilevel"/>
    <w:tmpl w:val="9610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1249A"/>
    <w:multiLevelType w:val="hybridMultilevel"/>
    <w:tmpl w:val="A9F21588"/>
    <w:lvl w:ilvl="0" w:tplc="F2C071FC">
      <w:start w:val="1"/>
      <w:numFmt w:val="bullet"/>
      <w:lvlText w:val=""/>
      <w:lvlJc w:val="left"/>
      <w:pPr>
        <w:ind w:left="927" w:hanging="360"/>
      </w:pPr>
      <w:rPr>
        <w:rFonts w:ascii="Symbol" w:hAnsi="Symbol"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DDE64AB"/>
    <w:multiLevelType w:val="multilevel"/>
    <w:tmpl w:val="8394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F6502"/>
    <w:multiLevelType w:val="hybridMultilevel"/>
    <w:tmpl w:val="758E288C"/>
    <w:lvl w:ilvl="0" w:tplc="F2C071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098794E"/>
    <w:multiLevelType w:val="hybridMultilevel"/>
    <w:tmpl w:val="1D2C8296"/>
    <w:lvl w:ilvl="0" w:tplc="818421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21D45BD"/>
    <w:multiLevelType w:val="hybridMultilevel"/>
    <w:tmpl w:val="469C2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F04D09"/>
    <w:multiLevelType w:val="hybridMultilevel"/>
    <w:tmpl w:val="3A22BA2C"/>
    <w:lvl w:ilvl="0" w:tplc="F2C071FC">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3" w15:restartNumberingAfterBreak="0">
    <w:nsid w:val="4BC04C0E"/>
    <w:multiLevelType w:val="multilevel"/>
    <w:tmpl w:val="F2D8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C331DE"/>
    <w:multiLevelType w:val="hybridMultilevel"/>
    <w:tmpl w:val="7D28F32E"/>
    <w:lvl w:ilvl="0" w:tplc="E87EF0E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8A1EEA"/>
    <w:multiLevelType w:val="hybridMultilevel"/>
    <w:tmpl w:val="383E1792"/>
    <w:lvl w:ilvl="0" w:tplc="F2C07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296EBE"/>
    <w:multiLevelType w:val="hybridMultilevel"/>
    <w:tmpl w:val="6B6EC4A6"/>
    <w:lvl w:ilvl="0" w:tplc="F2C071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4D76082"/>
    <w:multiLevelType w:val="multilevel"/>
    <w:tmpl w:val="616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787152"/>
    <w:multiLevelType w:val="hybridMultilevel"/>
    <w:tmpl w:val="4EB4A888"/>
    <w:lvl w:ilvl="0" w:tplc="F2C071FC">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9" w15:restartNumberingAfterBreak="0">
    <w:nsid w:val="73DF1242"/>
    <w:multiLevelType w:val="hybridMultilevel"/>
    <w:tmpl w:val="26F02A44"/>
    <w:lvl w:ilvl="0" w:tplc="F2C071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79A2639"/>
    <w:multiLevelType w:val="hybridMultilevel"/>
    <w:tmpl w:val="130CFBB8"/>
    <w:lvl w:ilvl="0" w:tplc="F2C071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13"/>
  </w:num>
  <w:num w:numId="3">
    <w:abstractNumId w:val="8"/>
  </w:num>
  <w:num w:numId="4">
    <w:abstractNumId w:val="17"/>
  </w:num>
  <w:num w:numId="5">
    <w:abstractNumId w:val="0"/>
  </w:num>
  <w:num w:numId="6">
    <w:abstractNumId w:val="14"/>
  </w:num>
  <w:num w:numId="7">
    <w:abstractNumId w:val="5"/>
  </w:num>
  <w:num w:numId="8">
    <w:abstractNumId w:val="4"/>
  </w:num>
  <w:num w:numId="9">
    <w:abstractNumId w:val="1"/>
  </w:num>
  <w:num w:numId="10">
    <w:abstractNumId w:val="7"/>
  </w:num>
  <w:num w:numId="11">
    <w:abstractNumId w:val="16"/>
  </w:num>
  <w:num w:numId="12">
    <w:abstractNumId w:val="15"/>
  </w:num>
  <w:num w:numId="13">
    <w:abstractNumId w:val="20"/>
  </w:num>
  <w:num w:numId="14">
    <w:abstractNumId w:val="19"/>
  </w:num>
  <w:num w:numId="15">
    <w:abstractNumId w:val="9"/>
  </w:num>
  <w:num w:numId="16">
    <w:abstractNumId w:val="12"/>
  </w:num>
  <w:num w:numId="17">
    <w:abstractNumId w:val="18"/>
  </w:num>
  <w:num w:numId="18">
    <w:abstractNumId w:val="3"/>
  </w:num>
  <w:num w:numId="19">
    <w:abstractNumId w:val="2"/>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C06"/>
    <w:rsid w:val="000351C1"/>
    <w:rsid w:val="00035CE1"/>
    <w:rsid w:val="0004144D"/>
    <w:rsid w:val="000525FB"/>
    <w:rsid w:val="00095963"/>
    <w:rsid w:val="00096923"/>
    <w:rsid w:val="000B4031"/>
    <w:rsid w:val="000B414F"/>
    <w:rsid w:val="000E2EED"/>
    <w:rsid w:val="001B3BC8"/>
    <w:rsid w:val="001D3127"/>
    <w:rsid w:val="001E4040"/>
    <w:rsid w:val="001F33FB"/>
    <w:rsid w:val="002475E0"/>
    <w:rsid w:val="0028486D"/>
    <w:rsid w:val="002A4C06"/>
    <w:rsid w:val="002F3FB4"/>
    <w:rsid w:val="003369BE"/>
    <w:rsid w:val="003378B9"/>
    <w:rsid w:val="003E623C"/>
    <w:rsid w:val="00407F66"/>
    <w:rsid w:val="0041381A"/>
    <w:rsid w:val="0044150D"/>
    <w:rsid w:val="00490631"/>
    <w:rsid w:val="004C143F"/>
    <w:rsid w:val="004D1FB2"/>
    <w:rsid w:val="004D42C8"/>
    <w:rsid w:val="005B3745"/>
    <w:rsid w:val="005B7737"/>
    <w:rsid w:val="00626E10"/>
    <w:rsid w:val="006577D3"/>
    <w:rsid w:val="00657A17"/>
    <w:rsid w:val="00671458"/>
    <w:rsid w:val="00672E94"/>
    <w:rsid w:val="00697163"/>
    <w:rsid w:val="006A3EA7"/>
    <w:rsid w:val="006F3E02"/>
    <w:rsid w:val="006F7249"/>
    <w:rsid w:val="007102AF"/>
    <w:rsid w:val="0073568B"/>
    <w:rsid w:val="007477B6"/>
    <w:rsid w:val="00771922"/>
    <w:rsid w:val="00793085"/>
    <w:rsid w:val="007E4E3B"/>
    <w:rsid w:val="007E74EA"/>
    <w:rsid w:val="0082672D"/>
    <w:rsid w:val="008D2C70"/>
    <w:rsid w:val="008E6B7E"/>
    <w:rsid w:val="008F4D40"/>
    <w:rsid w:val="009542EB"/>
    <w:rsid w:val="009655BB"/>
    <w:rsid w:val="00977DB4"/>
    <w:rsid w:val="00987FF1"/>
    <w:rsid w:val="00994681"/>
    <w:rsid w:val="009F3AA9"/>
    <w:rsid w:val="00A13B57"/>
    <w:rsid w:val="00A933EB"/>
    <w:rsid w:val="00A941ED"/>
    <w:rsid w:val="00AE07C0"/>
    <w:rsid w:val="00AE2C10"/>
    <w:rsid w:val="00AF66BF"/>
    <w:rsid w:val="00B0094D"/>
    <w:rsid w:val="00B03FB2"/>
    <w:rsid w:val="00B078D5"/>
    <w:rsid w:val="00B179EC"/>
    <w:rsid w:val="00B26D6C"/>
    <w:rsid w:val="00B362FB"/>
    <w:rsid w:val="00B74262"/>
    <w:rsid w:val="00BD60B7"/>
    <w:rsid w:val="00C27832"/>
    <w:rsid w:val="00C36C2A"/>
    <w:rsid w:val="00C50156"/>
    <w:rsid w:val="00CA6948"/>
    <w:rsid w:val="00CD237A"/>
    <w:rsid w:val="00CF4134"/>
    <w:rsid w:val="00D44CC3"/>
    <w:rsid w:val="00D54489"/>
    <w:rsid w:val="00D568D5"/>
    <w:rsid w:val="00D57C3E"/>
    <w:rsid w:val="00D760C6"/>
    <w:rsid w:val="00DB2218"/>
    <w:rsid w:val="00DB5244"/>
    <w:rsid w:val="00DC24B4"/>
    <w:rsid w:val="00E056E8"/>
    <w:rsid w:val="00E1040E"/>
    <w:rsid w:val="00E2634D"/>
    <w:rsid w:val="00E51122"/>
    <w:rsid w:val="00E75CD3"/>
    <w:rsid w:val="00ED0371"/>
    <w:rsid w:val="00EE1DA6"/>
    <w:rsid w:val="00F547D2"/>
    <w:rsid w:val="00F72EC0"/>
    <w:rsid w:val="00FC2003"/>
    <w:rsid w:val="00FD2258"/>
    <w:rsid w:val="00FD6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C8BE21-C02A-4246-A75B-0E2E04AB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AA9"/>
    <w:pPr>
      <w:spacing w:after="0" w:line="240" w:lineRule="auto"/>
      <w:ind w:firstLine="567"/>
      <w:jc w:val="both"/>
    </w:pPr>
    <w:rPr>
      <w:rFonts w:ascii="Times New Roman" w:hAnsi="Times New Roman"/>
      <w:sz w:val="24"/>
    </w:rPr>
  </w:style>
  <w:style w:type="paragraph" w:styleId="1">
    <w:name w:val="heading 1"/>
    <w:basedOn w:val="a"/>
    <w:next w:val="a"/>
    <w:link w:val="10"/>
    <w:uiPriority w:val="9"/>
    <w:qFormat/>
    <w:rsid w:val="00CA6948"/>
    <w:pPr>
      <w:spacing w:after="120"/>
      <w:ind w:firstLine="0"/>
      <w:jc w:val="left"/>
      <w:outlineLvl w:val="0"/>
    </w:pPr>
    <w:rPr>
      <w:b/>
      <w:bCs/>
      <w:sz w:val="28"/>
      <w:lang w:eastAsia="ru-RU"/>
    </w:rPr>
  </w:style>
  <w:style w:type="paragraph" w:styleId="2">
    <w:name w:val="heading 2"/>
    <w:basedOn w:val="a"/>
    <w:next w:val="a"/>
    <w:link w:val="20"/>
    <w:uiPriority w:val="9"/>
    <w:unhideWhenUsed/>
    <w:qFormat/>
    <w:rsid w:val="00FD2258"/>
    <w:pPr>
      <w:ind w:firstLine="0"/>
      <w:jc w:val="center"/>
      <w:outlineLvl w:val="1"/>
    </w:pPr>
    <w:rPr>
      <w:rFonts w:eastAsia="Times New Roman" w:cs="Times New Roman"/>
      <w:b/>
      <w:szCs w:val="24"/>
      <w:lang w:eastAsia="ru-RU"/>
    </w:rPr>
  </w:style>
  <w:style w:type="paragraph" w:styleId="3">
    <w:name w:val="heading 3"/>
    <w:basedOn w:val="a"/>
    <w:next w:val="a"/>
    <w:link w:val="30"/>
    <w:uiPriority w:val="9"/>
    <w:semiHidden/>
    <w:unhideWhenUsed/>
    <w:qFormat/>
    <w:rsid w:val="009F3AA9"/>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6948"/>
    <w:rPr>
      <w:rFonts w:ascii="Times New Roman" w:hAnsi="Times New Roman"/>
      <w:b/>
      <w:bCs/>
      <w:sz w:val="28"/>
      <w:lang w:eastAsia="ru-RU"/>
    </w:rPr>
  </w:style>
  <w:style w:type="paragraph" w:styleId="a3">
    <w:name w:val="Normal (Web)"/>
    <w:basedOn w:val="a"/>
    <w:uiPriority w:val="99"/>
    <w:semiHidden/>
    <w:unhideWhenUsed/>
    <w:rsid w:val="00E75CD3"/>
    <w:pPr>
      <w:spacing w:before="100" w:beforeAutospacing="1" w:after="100" w:afterAutospacing="1"/>
      <w:ind w:firstLine="0"/>
      <w:jc w:val="left"/>
    </w:pPr>
    <w:rPr>
      <w:rFonts w:eastAsia="Times New Roman" w:cs="Times New Roman"/>
      <w:szCs w:val="24"/>
      <w:lang w:eastAsia="ru-RU"/>
    </w:rPr>
  </w:style>
  <w:style w:type="character" w:styleId="a4">
    <w:name w:val="Strong"/>
    <w:basedOn w:val="a0"/>
    <w:uiPriority w:val="22"/>
    <w:qFormat/>
    <w:rsid w:val="00E75CD3"/>
    <w:rPr>
      <w:b/>
      <w:bCs/>
    </w:rPr>
  </w:style>
  <w:style w:type="paragraph" w:styleId="a5">
    <w:name w:val="footnote text"/>
    <w:basedOn w:val="a"/>
    <w:link w:val="a6"/>
    <w:uiPriority w:val="99"/>
    <w:semiHidden/>
    <w:unhideWhenUsed/>
    <w:rsid w:val="00E75CD3"/>
    <w:rPr>
      <w:szCs w:val="20"/>
    </w:rPr>
  </w:style>
  <w:style w:type="character" w:customStyle="1" w:styleId="a6">
    <w:name w:val="Текст сноски Знак"/>
    <w:basedOn w:val="a0"/>
    <w:link w:val="a5"/>
    <w:uiPriority w:val="99"/>
    <w:semiHidden/>
    <w:rsid w:val="00E75CD3"/>
    <w:rPr>
      <w:rFonts w:ascii="Times New Roman" w:hAnsi="Times New Roman"/>
      <w:sz w:val="20"/>
      <w:szCs w:val="20"/>
    </w:rPr>
  </w:style>
  <w:style w:type="character" w:styleId="a7">
    <w:name w:val="footnote reference"/>
    <w:basedOn w:val="a0"/>
    <w:uiPriority w:val="99"/>
    <w:semiHidden/>
    <w:unhideWhenUsed/>
    <w:rsid w:val="00E75CD3"/>
    <w:rPr>
      <w:vertAlign w:val="superscript"/>
    </w:rPr>
  </w:style>
  <w:style w:type="paragraph" w:styleId="a8">
    <w:name w:val="List Paragraph"/>
    <w:basedOn w:val="a"/>
    <w:uiPriority w:val="34"/>
    <w:qFormat/>
    <w:rsid w:val="00C36C2A"/>
    <w:pPr>
      <w:ind w:left="720"/>
      <w:contextualSpacing/>
    </w:pPr>
  </w:style>
  <w:style w:type="character" w:customStyle="1" w:styleId="30">
    <w:name w:val="Заголовок 3 Знак"/>
    <w:basedOn w:val="a0"/>
    <w:link w:val="3"/>
    <w:uiPriority w:val="9"/>
    <w:semiHidden/>
    <w:rsid w:val="009F3AA9"/>
    <w:rPr>
      <w:rFonts w:asciiTheme="majorHAnsi" w:eastAsiaTheme="majorEastAsia" w:hAnsiTheme="majorHAnsi" w:cstheme="majorBidi"/>
      <w:color w:val="1F3763" w:themeColor="accent1" w:themeShade="7F"/>
      <w:sz w:val="24"/>
      <w:szCs w:val="24"/>
    </w:rPr>
  </w:style>
  <w:style w:type="character" w:styleId="a9">
    <w:name w:val="Emphasis"/>
    <w:basedOn w:val="a0"/>
    <w:uiPriority w:val="20"/>
    <w:qFormat/>
    <w:rsid w:val="001D3127"/>
    <w:rPr>
      <w:i/>
      <w:iCs/>
    </w:rPr>
  </w:style>
  <w:style w:type="paragraph" w:styleId="aa">
    <w:name w:val="Body Text"/>
    <w:basedOn w:val="a"/>
    <w:link w:val="ab"/>
    <w:uiPriority w:val="99"/>
    <w:semiHidden/>
    <w:unhideWhenUsed/>
    <w:rsid w:val="001B3BC8"/>
    <w:pPr>
      <w:spacing w:after="120"/>
      <w:ind w:firstLine="0"/>
    </w:pPr>
    <w:rPr>
      <w:rFonts w:eastAsia="MS Mincho" w:cs="Times New Roman"/>
      <w:sz w:val="22"/>
      <w:szCs w:val="24"/>
      <w:lang w:val="en-GB" w:eastAsia="de-DE"/>
    </w:rPr>
  </w:style>
  <w:style w:type="character" w:customStyle="1" w:styleId="ab">
    <w:name w:val="Основной текст Знак"/>
    <w:basedOn w:val="a0"/>
    <w:link w:val="aa"/>
    <w:uiPriority w:val="99"/>
    <w:semiHidden/>
    <w:rsid w:val="001B3BC8"/>
    <w:rPr>
      <w:rFonts w:ascii="Times New Roman" w:eastAsia="MS Mincho" w:hAnsi="Times New Roman" w:cs="Times New Roman"/>
      <w:szCs w:val="24"/>
      <w:lang w:val="en-GB" w:eastAsia="de-DE"/>
    </w:rPr>
  </w:style>
  <w:style w:type="table" w:styleId="ac">
    <w:name w:val="Table Grid"/>
    <w:basedOn w:val="a1"/>
    <w:uiPriority w:val="59"/>
    <w:rsid w:val="001B3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D2258"/>
    <w:rPr>
      <w:rFonts w:ascii="Times New Roman" w:eastAsia="Times New Roman" w:hAnsi="Times New Roman" w:cs="Times New Roman"/>
      <w:b/>
      <w:sz w:val="24"/>
      <w:szCs w:val="24"/>
      <w:lang w:eastAsia="ru-RU"/>
    </w:rPr>
  </w:style>
  <w:style w:type="paragraph" w:customStyle="1" w:styleId="address">
    <w:name w:val="address"/>
    <w:basedOn w:val="a"/>
    <w:rsid w:val="00A933EB"/>
    <w:pPr>
      <w:overflowPunct w:val="0"/>
      <w:autoSpaceDE w:val="0"/>
      <w:autoSpaceDN w:val="0"/>
      <w:adjustRightInd w:val="0"/>
      <w:spacing w:after="200" w:line="220" w:lineRule="atLeast"/>
      <w:ind w:firstLine="0"/>
      <w:contextualSpacing/>
      <w:jc w:val="center"/>
      <w:textAlignment w:val="baseline"/>
    </w:pPr>
    <w:rPr>
      <w:rFonts w:eastAsia="Times New Roman" w:cs="Times New Roman"/>
      <w:sz w:val="18"/>
      <w:szCs w:val="20"/>
      <w:lang w:val="en-US"/>
    </w:rPr>
  </w:style>
  <w:style w:type="paragraph" w:customStyle="1" w:styleId="author">
    <w:name w:val="author"/>
    <w:basedOn w:val="a"/>
    <w:next w:val="address"/>
    <w:rsid w:val="00A933EB"/>
    <w:pPr>
      <w:overflowPunct w:val="0"/>
      <w:autoSpaceDE w:val="0"/>
      <w:autoSpaceDN w:val="0"/>
      <w:adjustRightInd w:val="0"/>
      <w:spacing w:after="200" w:line="220" w:lineRule="atLeast"/>
      <w:ind w:firstLine="0"/>
      <w:jc w:val="center"/>
      <w:textAlignment w:val="baseline"/>
    </w:pPr>
    <w:rPr>
      <w:rFonts w:eastAsia="Times New Roman" w:cs="Times New Roman"/>
      <w:sz w:val="20"/>
      <w:szCs w:val="20"/>
      <w:lang w:val="en-US"/>
    </w:rPr>
  </w:style>
  <w:style w:type="character" w:customStyle="1" w:styleId="e-mail">
    <w:name w:val="e-mail"/>
    <w:basedOn w:val="a0"/>
    <w:rsid w:val="00A933EB"/>
    <w:rPr>
      <w:rFonts w:ascii="Courier" w:hAnsi="Courier"/>
      <w:noProof/>
    </w:rPr>
  </w:style>
  <w:style w:type="character" w:customStyle="1" w:styleId="ORCID">
    <w:name w:val="ORCID"/>
    <w:basedOn w:val="a0"/>
    <w:rsid w:val="00A933EB"/>
    <w:rPr>
      <w:position w:val="0"/>
      <w:vertAlign w:val="superscript"/>
    </w:rPr>
  </w:style>
  <w:style w:type="paragraph" w:customStyle="1" w:styleId="abstract">
    <w:name w:val="abstract"/>
    <w:basedOn w:val="a"/>
    <w:rsid w:val="00A933EB"/>
    <w:pPr>
      <w:overflowPunct w:val="0"/>
      <w:autoSpaceDE w:val="0"/>
      <w:autoSpaceDN w:val="0"/>
      <w:adjustRightInd w:val="0"/>
      <w:spacing w:before="600" w:after="360" w:line="220" w:lineRule="atLeast"/>
      <w:ind w:left="567" w:right="567" w:firstLine="227"/>
      <w:contextualSpacing/>
      <w:textAlignment w:val="baseline"/>
    </w:pPr>
    <w:rPr>
      <w:rFonts w:eastAsia="Times New Roman" w:cs="Times New Roman"/>
      <w:sz w:val="18"/>
      <w:szCs w:val="20"/>
      <w:lang w:val="en-US"/>
    </w:rPr>
  </w:style>
  <w:style w:type="paragraph" w:customStyle="1" w:styleId="keywords">
    <w:name w:val="keywords"/>
    <w:basedOn w:val="abstract"/>
    <w:next w:val="a"/>
    <w:rsid w:val="00A933EB"/>
    <w:pPr>
      <w:spacing w:before="220"/>
      <w:ind w:firstLine="0"/>
      <w:contextualSpacing w:val="0"/>
      <w:jc w:val="left"/>
    </w:pPr>
  </w:style>
  <w:style w:type="paragraph" w:customStyle="1" w:styleId="papertitle">
    <w:name w:val="papertitle"/>
    <w:basedOn w:val="a"/>
    <w:next w:val="author"/>
    <w:rsid w:val="00407F66"/>
    <w:pPr>
      <w:keepNext/>
      <w:keepLines/>
      <w:suppressAutoHyphens/>
      <w:overflowPunct w:val="0"/>
      <w:autoSpaceDE w:val="0"/>
      <w:autoSpaceDN w:val="0"/>
      <w:adjustRightInd w:val="0"/>
      <w:spacing w:after="480" w:line="360" w:lineRule="atLeast"/>
      <w:ind w:firstLine="0"/>
      <w:jc w:val="center"/>
      <w:textAlignment w:val="baseline"/>
    </w:pPr>
    <w:rPr>
      <w:rFonts w:eastAsia="Times New Roman" w:cs="Times New Roman"/>
      <w:b/>
      <w:sz w:val="28"/>
      <w:szCs w:val="20"/>
      <w:lang w:val="en-US"/>
    </w:rPr>
  </w:style>
  <w:style w:type="character" w:styleId="ad">
    <w:name w:val="Hyperlink"/>
    <w:basedOn w:val="a0"/>
    <w:uiPriority w:val="99"/>
    <w:unhideWhenUsed/>
    <w:rsid w:val="000525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79122">
      <w:bodyDiv w:val="1"/>
      <w:marLeft w:val="0"/>
      <w:marRight w:val="0"/>
      <w:marTop w:val="0"/>
      <w:marBottom w:val="0"/>
      <w:divBdr>
        <w:top w:val="none" w:sz="0" w:space="0" w:color="auto"/>
        <w:left w:val="none" w:sz="0" w:space="0" w:color="auto"/>
        <w:bottom w:val="none" w:sz="0" w:space="0" w:color="auto"/>
        <w:right w:val="none" w:sz="0" w:space="0" w:color="auto"/>
      </w:divBdr>
      <w:divsChild>
        <w:div w:id="125972418">
          <w:marLeft w:val="0"/>
          <w:marRight w:val="0"/>
          <w:marTop w:val="0"/>
          <w:marBottom w:val="0"/>
          <w:divBdr>
            <w:top w:val="none" w:sz="0" w:space="0" w:color="auto"/>
            <w:left w:val="none" w:sz="0" w:space="0" w:color="auto"/>
            <w:bottom w:val="none" w:sz="0" w:space="0" w:color="auto"/>
            <w:right w:val="none" w:sz="0" w:space="0" w:color="auto"/>
          </w:divBdr>
        </w:div>
      </w:divsChild>
    </w:div>
    <w:div w:id="1358657392">
      <w:bodyDiv w:val="1"/>
      <w:marLeft w:val="0"/>
      <w:marRight w:val="0"/>
      <w:marTop w:val="0"/>
      <w:marBottom w:val="0"/>
      <w:divBdr>
        <w:top w:val="none" w:sz="0" w:space="0" w:color="auto"/>
        <w:left w:val="none" w:sz="0" w:space="0" w:color="auto"/>
        <w:bottom w:val="none" w:sz="0" w:space="0" w:color="auto"/>
        <w:right w:val="none" w:sz="0" w:space="0" w:color="auto"/>
      </w:divBdr>
    </w:div>
    <w:div w:id="1377897301">
      <w:bodyDiv w:val="1"/>
      <w:marLeft w:val="0"/>
      <w:marRight w:val="0"/>
      <w:marTop w:val="0"/>
      <w:marBottom w:val="0"/>
      <w:divBdr>
        <w:top w:val="none" w:sz="0" w:space="0" w:color="auto"/>
        <w:left w:val="none" w:sz="0" w:space="0" w:color="auto"/>
        <w:bottom w:val="none" w:sz="0" w:space="0" w:color="auto"/>
        <w:right w:val="none" w:sz="0" w:space="0" w:color="auto"/>
      </w:divBdr>
    </w:div>
    <w:div w:id="1517841726">
      <w:bodyDiv w:val="1"/>
      <w:marLeft w:val="0"/>
      <w:marRight w:val="0"/>
      <w:marTop w:val="0"/>
      <w:marBottom w:val="0"/>
      <w:divBdr>
        <w:top w:val="none" w:sz="0" w:space="0" w:color="auto"/>
        <w:left w:val="none" w:sz="0" w:space="0" w:color="auto"/>
        <w:bottom w:val="none" w:sz="0" w:space="0" w:color="auto"/>
        <w:right w:val="none" w:sz="0" w:space="0" w:color="auto"/>
      </w:divBdr>
      <w:divsChild>
        <w:div w:id="796335128">
          <w:marLeft w:val="0"/>
          <w:marRight w:val="0"/>
          <w:marTop w:val="0"/>
          <w:marBottom w:val="0"/>
          <w:divBdr>
            <w:top w:val="none" w:sz="0" w:space="0" w:color="auto"/>
            <w:left w:val="none" w:sz="0" w:space="0" w:color="auto"/>
            <w:bottom w:val="none" w:sz="0" w:space="0" w:color="auto"/>
            <w:right w:val="none" w:sz="0" w:space="0" w:color="auto"/>
          </w:divBdr>
        </w:div>
      </w:divsChild>
    </w:div>
    <w:div w:id="1649285887">
      <w:bodyDiv w:val="1"/>
      <w:marLeft w:val="0"/>
      <w:marRight w:val="0"/>
      <w:marTop w:val="0"/>
      <w:marBottom w:val="0"/>
      <w:divBdr>
        <w:top w:val="none" w:sz="0" w:space="0" w:color="auto"/>
        <w:left w:val="none" w:sz="0" w:space="0" w:color="auto"/>
        <w:bottom w:val="none" w:sz="0" w:space="0" w:color="auto"/>
        <w:right w:val="none" w:sz="0" w:space="0" w:color="auto"/>
      </w:divBdr>
      <w:divsChild>
        <w:div w:id="834147082">
          <w:marLeft w:val="0"/>
          <w:marRight w:val="0"/>
          <w:marTop w:val="0"/>
          <w:marBottom w:val="0"/>
          <w:divBdr>
            <w:top w:val="none" w:sz="0" w:space="0" w:color="auto"/>
            <w:left w:val="none" w:sz="0" w:space="0" w:color="auto"/>
            <w:bottom w:val="none" w:sz="0" w:space="0" w:color="auto"/>
            <w:right w:val="none" w:sz="0" w:space="0" w:color="auto"/>
          </w:divBdr>
          <w:divsChild>
            <w:div w:id="1121341784">
              <w:marLeft w:val="0"/>
              <w:marRight w:val="0"/>
              <w:marTop w:val="0"/>
              <w:marBottom w:val="0"/>
              <w:divBdr>
                <w:top w:val="none" w:sz="0" w:space="0" w:color="auto"/>
                <w:left w:val="none" w:sz="0" w:space="0" w:color="auto"/>
                <w:bottom w:val="none" w:sz="0" w:space="0" w:color="auto"/>
                <w:right w:val="none" w:sz="0" w:space="0" w:color="auto"/>
              </w:divBdr>
              <w:divsChild>
                <w:div w:id="9057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le.spbstu.ru/e_submission_autho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stainable.spbstu.ru/references/"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B3257-7725-4057-A637-CF4FDBA9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3648</Words>
  <Characters>20799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Бразовская Виктория Владимировна</dc:creator>
  <cp:keywords/>
  <dc:description/>
  <cp:lastModifiedBy>Darya</cp:lastModifiedBy>
  <cp:revision>2</cp:revision>
  <dcterms:created xsi:type="dcterms:W3CDTF">2021-08-03T07:42:00Z</dcterms:created>
  <dcterms:modified xsi:type="dcterms:W3CDTF">2021-08-03T07:42:00Z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http://www.zotero.org/styles/association-for-computing-machinery</vt:lpwstr>
  </property>
  <property fmtid="{D5CDD505-2E9C-101B-9397-08002B2CF9AE}" pid="7" name="Mendeley Recent Style Name 2_1">
    <vt:lpwstr>Association for Computing Machinery</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http://www.zotero.org/styles/elsevier-harvard</vt:lpwstr>
  </property>
  <property fmtid="{D5CDD505-2E9C-101B-9397-08002B2CF9AE}" pid="11" name="Mendeley Recent Style Name 4_1">
    <vt:lpwstr>Elsevier - Harvard (with titles)</vt:lpwstr>
  </property>
  <property fmtid="{D5CDD505-2E9C-101B-9397-08002B2CF9AE}" pid="12" name="Mendeley Recent Style Id 5_1">
    <vt:lpwstr>http://www.zotero.org/styles/elsevier-vancouver</vt:lpwstr>
  </property>
  <property fmtid="{D5CDD505-2E9C-101B-9397-08002B2CF9AE}" pid="13" name="Mendeley Recent Style Name 5_1">
    <vt:lpwstr>Elsevier - Vancouver</vt:lpwstr>
  </property>
  <property fmtid="{D5CDD505-2E9C-101B-9397-08002B2CF9AE}" pid="14" name="Mendeley Recent Style Id 6_1">
    <vt:lpwstr>http://www.zotero.org/styles/gost-r-7-0-5-2008-numeric-alphabetical</vt:lpwstr>
  </property>
  <property fmtid="{D5CDD505-2E9C-101B-9397-08002B2CF9AE}" pid="15" name="Mendeley Recent Style Name 6_1">
    <vt:lpwstr>Russian GOST R 7.0.5-2008 (numeric, sorted alphabetically, Russian)</vt:lpwstr>
  </property>
  <property fmtid="{D5CDD505-2E9C-101B-9397-08002B2CF9AE}" pid="16" name="Mendeley Recent Style Id 7_1">
    <vt:lpwstr>http://www.zotero.org/styles/springer-basic-brackets</vt:lpwstr>
  </property>
  <property fmtid="{D5CDD505-2E9C-101B-9397-08002B2CF9AE}" pid="17" name="Mendeley Recent Style Name 7_1">
    <vt:lpwstr>Springer - Basic (numeric, brackets)</vt:lpwstr>
  </property>
  <property fmtid="{D5CDD505-2E9C-101B-9397-08002B2CF9AE}" pid="18" name="Mendeley Recent Style Id 8_1">
    <vt:lpwstr>http://www.zotero.org/styles/springer-basic-brackets-no-et-al</vt:lpwstr>
  </property>
  <property fmtid="{D5CDD505-2E9C-101B-9397-08002B2CF9AE}" pid="19" name="Mendeley Recent Style Name 8_1">
    <vt:lpwstr>Springer - Basic (numeric, brackets, no "et al.")</vt:lpwstr>
  </property>
  <property fmtid="{D5CDD505-2E9C-101B-9397-08002B2CF9AE}" pid="20" name="Mendeley Recent Style Id 9_1">
    <vt:lpwstr>http://www.zotero.org/styles/springer-vancouver-brackets</vt:lpwstr>
  </property>
  <property fmtid="{D5CDD505-2E9C-101B-9397-08002B2CF9AE}" pid="21" name="Mendeley Recent Style Name 9_1">
    <vt:lpwstr>Springer - Vancouver (brackets)</vt:lpwstr>
  </property>
  <property fmtid="{D5CDD505-2E9C-101B-9397-08002B2CF9AE}" pid="22" name="Mendeley Document_1">
    <vt:lpwstr>True</vt:lpwstr>
  </property>
  <property fmtid="{D5CDD505-2E9C-101B-9397-08002B2CF9AE}" pid="23" name="Mendeley Unique User Id_1">
    <vt:lpwstr>9986565f-aa7d-3544-bbda-4825cf0c3165</vt:lpwstr>
  </property>
  <property fmtid="{D5CDD505-2E9C-101B-9397-08002B2CF9AE}" pid="24" name="Mendeley Citation Style_1">
    <vt:lpwstr>http://www.zotero.org/styles/elsevier-harvard</vt:lpwstr>
  </property>
</Properties>
</file>